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51149F">
      <w:pPr>
        <w:rPr>
          <w:rFonts w:hint="eastAsia" w:ascii="黑体" w:hAnsi="黑体" w:eastAsia="黑体"/>
          <w:sz w:val="32"/>
          <w:szCs w:val="32"/>
        </w:rPr>
      </w:pPr>
    </w:p>
    <w:p w14:paraId="0F90D475">
      <w:pPr>
        <w:jc w:val="center"/>
        <w:rPr>
          <w:rFonts w:hint="eastAsia" w:ascii="方正小标宋_GBK" w:hAnsi="宋体" w:eastAsia="方正小标宋_GBK"/>
          <w:sz w:val="44"/>
          <w:szCs w:val="44"/>
        </w:rPr>
      </w:pPr>
    </w:p>
    <w:p w14:paraId="423344ED">
      <w:pPr>
        <w:jc w:val="center"/>
        <w:rPr>
          <w:rFonts w:hint="eastAsia" w:ascii="方正小标宋_GBK" w:hAnsi="宋体" w:eastAsia="方正小标宋_GBK"/>
          <w:sz w:val="44"/>
          <w:szCs w:val="44"/>
        </w:rPr>
      </w:pPr>
      <w:r>
        <w:rPr>
          <w:rFonts w:hint="eastAsia" w:ascii="方正小标宋_GBK" w:hAnsi="宋体" w:eastAsia="方正小标宋_GBK"/>
          <w:sz w:val="44"/>
          <w:szCs w:val="44"/>
        </w:rPr>
        <w:t>中共木垒哈萨克自治县委员会党校</w:t>
      </w:r>
    </w:p>
    <w:p w14:paraId="43E80952">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37BA64BC">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04B740E4">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05410DF9">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2BC1C434">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4390C1F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36D76E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397807F0">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4CD5519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2EA8BC3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1A487A9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992F38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4596511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2B2F77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16CD5F7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5FD3FEA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62DDC6ED">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7125660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42C75ADB">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74F54E69">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01CDFD99">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568675F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7F68D5C7">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73DE41F4">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309527DA">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6526938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13F7CC1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245D3A7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799A6B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C9DF4D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62C638E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69814E6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20AAB65E">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5022F6E9">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68671C6A">
      <w:r>
        <w:rPr>
          <w:rFonts w:hint="eastAsia" w:ascii="仿宋_GB2312" w:hAnsi="仿宋_GB2312" w:eastAsia="仿宋_GB2312" w:cs="仿宋_GB2312"/>
          <w:sz w:val="32"/>
          <w:szCs w:val="32"/>
        </w:rPr>
        <w:fldChar w:fldCharType="end"/>
      </w:r>
    </w:p>
    <w:p w14:paraId="56B9EB31">
      <w:pPr>
        <w:rPr>
          <w:rFonts w:ascii="仿宋_GB2312" w:eastAsia="仿宋_GB2312"/>
          <w:sz w:val="32"/>
          <w:szCs w:val="32"/>
        </w:rPr>
      </w:pPr>
      <w:r>
        <w:rPr>
          <w:rFonts w:hint="eastAsia" w:ascii="仿宋_GB2312" w:eastAsia="仿宋_GB2312"/>
          <w:sz w:val="32"/>
          <w:szCs w:val="32"/>
        </w:rPr>
        <w:br w:type="page"/>
      </w:r>
    </w:p>
    <w:p w14:paraId="3580AB17">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2430679A">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06AD3F79">
      <w:pPr>
        <w:ind w:firstLine="640" w:firstLineChars="200"/>
        <w:rPr>
          <w:rFonts w:ascii="仿宋_GB2312" w:eastAsia="仿宋_GB2312"/>
          <w:sz w:val="32"/>
          <w:szCs w:val="32"/>
        </w:rPr>
      </w:pPr>
      <w:r>
        <w:rPr>
          <w:rFonts w:hint="eastAsia" w:ascii="仿宋_GB2312" w:eastAsia="仿宋_GB2312"/>
          <w:sz w:val="32"/>
          <w:szCs w:val="32"/>
        </w:rPr>
        <w:t>轮训县级机关、乡（镇）科级干部、村党支部书记、村委会主任和其他基层党员干部；培训科级后备干部，培训先进青年入党积极分子，培训意识形态部门领导、理论宣传骨干和组织、纪检、共青团、妇联工作人员。发挥县干部培训中心职能，培训、轮训全县各类干部；开展社会调查和教学研究，完成上级党校下达的科研项目的编写、上报工作。</w:t>
      </w:r>
    </w:p>
    <w:p w14:paraId="7003350A">
      <w:pPr>
        <w:ind w:firstLine="640" w:firstLineChars="200"/>
        <w:rPr>
          <w:rFonts w:ascii="仿宋_GB2312" w:eastAsia="仿宋_GB2312"/>
          <w:sz w:val="32"/>
          <w:szCs w:val="32"/>
        </w:rPr>
      </w:pPr>
      <w:r>
        <w:rPr>
          <w:rFonts w:hint="eastAsia" w:ascii="仿宋_GB2312" w:eastAsia="仿宋_GB2312"/>
          <w:sz w:val="32"/>
          <w:szCs w:val="32"/>
        </w:rPr>
        <w:t>完成县委交办的其他任务。</w:t>
      </w:r>
    </w:p>
    <w:p w14:paraId="4616C661">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72C559EB">
      <w:pPr>
        <w:ind w:firstLine="640" w:firstLineChars="200"/>
        <w:rPr>
          <w:rFonts w:hint="eastAsia" w:ascii="仿宋_GB2312" w:hAnsi="仿宋_GB2312" w:eastAsia="仿宋_GB2312" w:cs="仿宋_GB2312"/>
          <w:b/>
          <w:sz w:val="32"/>
          <w:szCs w:val="32"/>
        </w:rPr>
      </w:pPr>
      <w:r>
        <w:rPr>
          <w:rFonts w:hint="eastAsia" w:ascii="仿宋_GB2312" w:eastAsia="仿宋_GB2312"/>
          <w:sz w:val="32"/>
          <w:szCs w:val="32"/>
        </w:rPr>
        <w:t>中共木垒哈萨克自治县委员会党校2023年度，实有人数</w:t>
      </w:r>
      <w:r>
        <w:rPr>
          <w:rFonts w:hint="eastAsia" w:ascii="仿宋_GB2312" w:eastAsia="仿宋_GB2312"/>
          <w:sz w:val="32"/>
          <w:szCs w:val="32"/>
          <w:lang w:val="zh-CN"/>
        </w:rPr>
        <w:t>31</w:t>
      </w:r>
      <w:r>
        <w:rPr>
          <w:rFonts w:hint="eastAsia" w:ascii="仿宋_GB2312" w:eastAsia="仿宋_GB2312"/>
          <w:sz w:val="32"/>
          <w:szCs w:val="32"/>
        </w:rPr>
        <w:t>人，其中：在职人员</w:t>
      </w:r>
      <w:r>
        <w:rPr>
          <w:rFonts w:hint="eastAsia" w:ascii="仿宋_GB2312" w:eastAsia="仿宋_GB2312"/>
          <w:sz w:val="32"/>
          <w:szCs w:val="32"/>
          <w:lang w:val="zh-CN"/>
        </w:rPr>
        <w:t>16</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15</w:t>
      </w:r>
      <w:r>
        <w:rPr>
          <w:rFonts w:hint="eastAsia" w:ascii="仿宋_GB2312" w:eastAsia="仿宋_GB2312"/>
          <w:sz w:val="32"/>
          <w:szCs w:val="32"/>
        </w:rPr>
        <w:t>人。</w:t>
      </w:r>
    </w:p>
    <w:p w14:paraId="4E05B728">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rPr>
        <w:t>单位无下属预算单位，下设3个处室，分别是：</w:t>
      </w:r>
      <w:r>
        <w:rPr>
          <w:rFonts w:hint="eastAsia" w:ascii="仿宋_GB2312" w:eastAsia="仿宋_GB2312" w:cs="仿宋_GB2312"/>
          <w:kern w:val="0"/>
          <w:sz w:val="32"/>
          <w:szCs w:val="32"/>
        </w:rPr>
        <w:t>办公室、后勤办、教务办</w:t>
      </w:r>
      <w:r>
        <w:rPr>
          <w:rFonts w:hint="eastAsia" w:ascii="仿宋_GB2312" w:eastAsia="仿宋_GB2312"/>
          <w:sz w:val="32"/>
          <w:szCs w:val="32"/>
        </w:rPr>
        <w:t>。</w:t>
      </w:r>
    </w:p>
    <w:p w14:paraId="26CCCB5C">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19A2427E">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00DDACDA">
      <w:pPr>
        <w:ind w:firstLine="640" w:firstLineChars="200"/>
        <w:rPr>
          <w:rFonts w:ascii="仿宋_GB2312" w:eastAsia="仿宋_GB2312"/>
          <w:sz w:val="32"/>
          <w:szCs w:val="32"/>
        </w:rPr>
      </w:pPr>
      <w:r>
        <w:rPr>
          <w:rFonts w:hint="eastAsia" w:ascii="仿宋_GB2312" w:eastAsia="仿宋_GB2312"/>
          <w:sz w:val="32"/>
          <w:szCs w:val="32"/>
        </w:rPr>
        <w:t>2023年度收入总计501.65万元，其中：本年收入合计501.65万元，使用非财政拨款结余0.00万元，年初结转和结余0.00万元。</w:t>
      </w:r>
    </w:p>
    <w:p w14:paraId="533CC8D6">
      <w:pPr>
        <w:ind w:firstLine="640" w:firstLineChars="200"/>
        <w:rPr>
          <w:rFonts w:ascii="仿宋_GB2312" w:eastAsia="仿宋_GB2312"/>
          <w:sz w:val="32"/>
          <w:szCs w:val="32"/>
        </w:rPr>
      </w:pPr>
      <w:r>
        <w:rPr>
          <w:rFonts w:hint="eastAsia" w:ascii="仿宋_GB2312" w:eastAsia="仿宋_GB2312"/>
          <w:sz w:val="32"/>
          <w:szCs w:val="32"/>
        </w:rPr>
        <w:t>2023年度支出总计501.65万元，其中：本年支出合计501.61万元，结余分配0.00万元，年末结转和结余0.05万元。</w:t>
      </w:r>
    </w:p>
    <w:p w14:paraId="5DF1A8EF">
      <w:pPr>
        <w:ind w:firstLine="640" w:firstLineChars="200"/>
        <w:rPr>
          <w:rFonts w:ascii="仿宋_GB2312" w:eastAsia="仿宋_GB2312"/>
          <w:sz w:val="32"/>
          <w:szCs w:val="32"/>
        </w:rPr>
      </w:pPr>
      <w:r>
        <w:rPr>
          <w:rFonts w:hint="eastAsia" w:ascii="仿宋_GB2312" w:eastAsia="仿宋_GB2312"/>
          <w:sz w:val="32"/>
          <w:szCs w:val="32"/>
        </w:rPr>
        <w:t>收入支出总体与上年相比，增加60.72万元，增长13.77%，主要原因是：本年党校基层组织建设培训项目经费增加、自治区为民办实事、办好事工作项目经费增加。</w:t>
      </w:r>
    </w:p>
    <w:p w14:paraId="1AEAD369">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3DBD1CEA">
      <w:pPr>
        <w:ind w:firstLine="640" w:firstLineChars="200"/>
        <w:rPr>
          <w:rFonts w:ascii="仿宋_GB2312" w:eastAsia="仿宋_GB2312"/>
          <w:sz w:val="32"/>
          <w:szCs w:val="32"/>
        </w:rPr>
      </w:pPr>
      <w:r>
        <w:rPr>
          <w:rFonts w:hint="eastAsia" w:ascii="仿宋_GB2312" w:eastAsia="仿宋_GB2312"/>
          <w:sz w:val="32"/>
          <w:szCs w:val="32"/>
        </w:rPr>
        <w:t>本年收入501.65万元，其中：财政拨款收入501.61万元，占99.99%；上级补助收入0.00万元，占0.00%；事业收入0.00万元，占0.00%；经营收入0.00万元，占0.00%；附属单位上缴收入0.00万元，占0.00%；其他收入0.05万元，占0.01%。</w:t>
      </w:r>
    </w:p>
    <w:p w14:paraId="1B0B1893">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13BA7188">
      <w:pPr>
        <w:ind w:firstLine="640" w:firstLineChars="200"/>
        <w:rPr>
          <w:rFonts w:ascii="仿宋_GB2312" w:eastAsia="仿宋_GB2312"/>
          <w:sz w:val="32"/>
          <w:szCs w:val="32"/>
        </w:rPr>
      </w:pPr>
      <w:r>
        <w:rPr>
          <w:rFonts w:hint="eastAsia" w:ascii="仿宋_GB2312" w:eastAsia="仿宋_GB2312"/>
          <w:sz w:val="32"/>
          <w:szCs w:val="32"/>
        </w:rPr>
        <w:t>本年支出501.61万元，其中：基本支出402.65万元，占80.27%；项目支出98.95万元，占19.73%；上缴上级支出0.00万元，占0.00%；经营支出0.00万元，占0.00%；对附属单位补助支出0.00万元，占0.00%。</w:t>
      </w:r>
    </w:p>
    <w:p w14:paraId="72A235BC">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53F46A80">
      <w:pPr>
        <w:ind w:firstLine="640" w:firstLineChars="200"/>
        <w:rPr>
          <w:rFonts w:ascii="仿宋_GB2312" w:eastAsia="仿宋_GB2312"/>
          <w:sz w:val="32"/>
          <w:szCs w:val="32"/>
        </w:rPr>
      </w:pPr>
      <w:r>
        <w:rPr>
          <w:rFonts w:hint="eastAsia" w:ascii="仿宋_GB2312" w:eastAsia="仿宋_GB2312"/>
          <w:sz w:val="32"/>
          <w:szCs w:val="32"/>
        </w:rPr>
        <w:t>2023年度财政拨款收入总计501.61万元，其中：年初财政拨款结转和结余0.00万元，本年财政拨款收入501.61万元。财政拨款支出总计501.61万元，其中：年末财政拨款结转和结余0.00万元，本年财政拨款支出501.61万元。</w:t>
      </w:r>
    </w:p>
    <w:p w14:paraId="62A69E6B">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增加60.68万元，增长13.76%,主要原因是：本年党校基层组织建设培训项目经费增加、自治区为民办实事、办好事工作项目经费增加。与年初预算相比，年初预算数373.36万元，决算数501.61万元，预决算差异率34.35%，主要原因是：年中追加党校基层组织建设培训项目经费、自治区为民办实事、办好事工作项目经费。</w:t>
      </w:r>
    </w:p>
    <w:p w14:paraId="2D185A9F">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1A5940E2">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6D1ADDA3">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501.61万元，占本年支出合计的100.00%。与上年相比，增加60.68万元，增长13.76%,主要原因是：本年党校基层组织建设培训项目经费增加、自治区为民办实事、办好事工作项目经费增加。与年初预算相比，年初预算数373.36万元，决算数501.61万元，预决算差异率34.35%，主要原因是：年中追加党校基层组织建设培训项目经费、自治区为民办实事、办好事工作项目经费。</w:t>
      </w:r>
    </w:p>
    <w:p w14:paraId="3AB5B79E">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6851F68C">
      <w:pPr>
        <w:ind w:firstLine="640" w:firstLineChars="200"/>
        <w:rPr>
          <w:rFonts w:ascii="仿宋_GB2312" w:eastAsia="仿宋_GB2312"/>
          <w:sz w:val="32"/>
          <w:szCs w:val="32"/>
        </w:rPr>
      </w:pPr>
      <w:r>
        <w:rPr>
          <w:rFonts w:ascii="仿宋_GB2312" w:eastAsia="仿宋_GB2312"/>
          <w:sz w:val="32"/>
          <w:szCs w:val="32"/>
        </w:rPr>
        <w:t>1.一般公共服务支出（类）</w:t>
      </w:r>
      <w:r>
        <w:rPr>
          <w:rFonts w:hint="eastAsia" w:ascii="仿宋_GB2312" w:eastAsia="仿宋_GB2312"/>
          <w:sz w:val="32"/>
          <w:szCs w:val="32"/>
        </w:rPr>
        <w:t>30.00</w:t>
      </w:r>
      <w:r>
        <w:rPr>
          <w:rFonts w:ascii="仿宋_GB2312" w:eastAsia="仿宋_GB2312"/>
          <w:sz w:val="32"/>
          <w:szCs w:val="32"/>
        </w:rPr>
        <w:t>万元，占</w:t>
      </w:r>
      <w:r>
        <w:rPr>
          <w:rFonts w:hint="eastAsia" w:ascii="仿宋_GB2312" w:eastAsia="仿宋_GB2312"/>
          <w:sz w:val="32"/>
          <w:szCs w:val="32"/>
        </w:rPr>
        <w:t>5.98</w:t>
      </w:r>
      <w:r>
        <w:rPr>
          <w:rFonts w:ascii="仿宋_GB2312" w:eastAsia="仿宋_GB2312"/>
          <w:sz w:val="32"/>
          <w:szCs w:val="32"/>
        </w:rPr>
        <w:t>%；</w:t>
      </w:r>
    </w:p>
    <w:p w14:paraId="5E4B6FEF">
      <w:pPr>
        <w:ind w:firstLine="640" w:firstLineChars="200"/>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.教育支出（类）</w:t>
      </w:r>
      <w:r>
        <w:rPr>
          <w:rFonts w:hint="eastAsia" w:ascii="仿宋_GB2312" w:eastAsia="仿宋_GB2312"/>
          <w:sz w:val="32"/>
          <w:szCs w:val="32"/>
        </w:rPr>
        <w:t>440.39</w:t>
      </w:r>
      <w:r>
        <w:rPr>
          <w:rFonts w:ascii="仿宋_GB2312" w:eastAsia="仿宋_GB2312"/>
          <w:sz w:val="32"/>
          <w:szCs w:val="32"/>
        </w:rPr>
        <w:t>万元，占</w:t>
      </w:r>
      <w:r>
        <w:rPr>
          <w:rFonts w:hint="eastAsia" w:ascii="仿宋_GB2312" w:eastAsia="仿宋_GB2312"/>
          <w:sz w:val="32"/>
          <w:szCs w:val="32"/>
        </w:rPr>
        <w:t>87.80</w:t>
      </w:r>
      <w:r>
        <w:rPr>
          <w:rFonts w:ascii="仿宋_GB2312" w:eastAsia="仿宋_GB2312"/>
          <w:sz w:val="32"/>
          <w:szCs w:val="32"/>
        </w:rPr>
        <w:t>%；</w:t>
      </w:r>
    </w:p>
    <w:p w14:paraId="5D4DCF67">
      <w:pPr>
        <w:ind w:firstLine="640" w:firstLineChars="200"/>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.社会保障和就业支出（类）</w:t>
      </w:r>
      <w:r>
        <w:rPr>
          <w:rFonts w:hint="eastAsia" w:ascii="仿宋_GB2312" w:eastAsia="仿宋_GB2312"/>
          <w:sz w:val="32"/>
          <w:szCs w:val="32"/>
        </w:rPr>
        <w:t>21.30</w:t>
      </w:r>
      <w:r>
        <w:rPr>
          <w:rFonts w:ascii="仿宋_GB2312" w:eastAsia="仿宋_GB2312"/>
          <w:sz w:val="32"/>
          <w:szCs w:val="32"/>
        </w:rPr>
        <w:t>万元，占</w:t>
      </w:r>
      <w:r>
        <w:rPr>
          <w:rFonts w:hint="eastAsia" w:ascii="仿宋_GB2312" w:eastAsia="仿宋_GB2312"/>
          <w:sz w:val="32"/>
          <w:szCs w:val="32"/>
        </w:rPr>
        <w:t>4.25</w:t>
      </w:r>
      <w:r>
        <w:rPr>
          <w:rFonts w:ascii="仿宋_GB2312" w:eastAsia="仿宋_GB2312"/>
          <w:sz w:val="32"/>
          <w:szCs w:val="32"/>
        </w:rPr>
        <w:t>%；</w:t>
      </w:r>
    </w:p>
    <w:p w14:paraId="47AA70E7">
      <w:pPr>
        <w:ind w:firstLine="640" w:firstLineChars="200"/>
        <w:rPr>
          <w:rFonts w:ascii="仿宋_GB2312" w:eastAsia="仿宋_GB2312"/>
          <w:sz w:val="32"/>
          <w:szCs w:val="32"/>
        </w:rPr>
      </w:pPr>
      <w:r>
        <w:rPr>
          <w:rFonts w:hint="eastAsia" w:ascii="仿宋_GB2312" w:eastAsia="仿宋_GB2312"/>
          <w:sz w:val="32"/>
          <w:szCs w:val="32"/>
        </w:rPr>
        <w:t>4</w:t>
      </w:r>
      <w:r>
        <w:rPr>
          <w:rFonts w:ascii="仿宋_GB2312" w:eastAsia="仿宋_GB2312"/>
          <w:sz w:val="32"/>
          <w:szCs w:val="32"/>
        </w:rPr>
        <w:t>.其他支出（类）</w:t>
      </w:r>
      <w:r>
        <w:rPr>
          <w:rFonts w:hint="eastAsia" w:ascii="仿宋_GB2312" w:eastAsia="仿宋_GB2312"/>
          <w:sz w:val="32"/>
          <w:szCs w:val="32"/>
        </w:rPr>
        <w:t>9.91</w:t>
      </w:r>
      <w:r>
        <w:rPr>
          <w:rFonts w:ascii="仿宋_GB2312" w:eastAsia="仿宋_GB2312"/>
          <w:sz w:val="32"/>
          <w:szCs w:val="32"/>
        </w:rPr>
        <w:t>万元，占</w:t>
      </w:r>
      <w:r>
        <w:rPr>
          <w:rFonts w:hint="eastAsia" w:ascii="仿宋_GB2312" w:eastAsia="仿宋_GB2312"/>
          <w:sz w:val="32"/>
          <w:szCs w:val="32"/>
        </w:rPr>
        <w:t>1.98</w:t>
      </w:r>
      <w:r>
        <w:rPr>
          <w:rFonts w:ascii="仿宋_GB2312" w:eastAsia="仿宋_GB2312"/>
          <w:sz w:val="32"/>
          <w:szCs w:val="32"/>
        </w:rPr>
        <w:t>%</w:t>
      </w:r>
      <w:r>
        <w:rPr>
          <w:rFonts w:hint="eastAsia" w:ascii="仿宋_GB2312" w:eastAsia="仿宋_GB2312"/>
          <w:sz w:val="32"/>
          <w:szCs w:val="32"/>
        </w:rPr>
        <w:t>。</w:t>
      </w:r>
    </w:p>
    <w:p w14:paraId="049AC5C7">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40A2223C">
      <w:pPr>
        <w:ind w:firstLine="640" w:firstLineChars="200"/>
        <w:rPr>
          <w:rFonts w:ascii="仿宋_GB2312" w:eastAsia="仿宋_GB2312"/>
          <w:sz w:val="32"/>
          <w:szCs w:val="32"/>
        </w:rPr>
      </w:pPr>
      <w:r>
        <w:rPr>
          <w:rFonts w:hint="eastAsia" w:ascii="仿宋_GB2312" w:eastAsia="仿宋_GB2312"/>
          <w:sz w:val="32"/>
          <w:szCs w:val="32"/>
        </w:rPr>
        <w:t>1.教育支出（类）进修及培训（款）干部教育（项）:支出决算数为440.39万元，比上年决算增加115.08万元，增长35.38%，主要原因是：本年党校基层组织建设培训项目经费增加。</w:t>
      </w:r>
    </w:p>
    <w:p w14:paraId="27082174">
      <w:pPr>
        <w:ind w:firstLine="640" w:firstLineChars="200"/>
        <w:rPr>
          <w:rFonts w:ascii="仿宋_GB2312" w:eastAsia="仿宋_GB2312"/>
          <w:sz w:val="32"/>
          <w:szCs w:val="32"/>
        </w:rPr>
      </w:pPr>
      <w:r>
        <w:rPr>
          <w:rFonts w:hint="eastAsia" w:ascii="仿宋_GB2312" w:eastAsia="仿宋_GB2312"/>
          <w:sz w:val="32"/>
          <w:szCs w:val="32"/>
        </w:rPr>
        <w:t>2.社会保障和就业支出（类）行政事业单位养老支出（款）事业单位离退休（项）:支出决算数为4.18万元，比上年决算增加2.34万元，增长127.17%，主要原因是：单位本年退休人员交通补助、取暖费增加。</w:t>
      </w:r>
    </w:p>
    <w:p w14:paraId="7DF827D1">
      <w:pPr>
        <w:ind w:firstLine="640" w:firstLineChars="200"/>
        <w:rPr>
          <w:rFonts w:ascii="仿宋_GB2312" w:eastAsia="仿宋_GB2312"/>
          <w:sz w:val="32"/>
          <w:szCs w:val="32"/>
        </w:rPr>
      </w:pPr>
      <w:r>
        <w:rPr>
          <w:rFonts w:hint="eastAsia" w:ascii="仿宋_GB2312" w:eastAsia="仿宋_GB2312"/>
          <w:sz w:val="32"/>
          <w:szCs w:val="32"/>
        </w:rPr>
        <w:t>3.一般公共服务支出（类）其他一般公共服务支出（款）其他一般公共服务支出（项）:支出决算数为30.00万元，比上年决算减少5.96万元，下降16.57%，主要原因是：2023年党校基层组织建设项目经费减少。</w:t>
      </w:r>
    </w:p>
    <w:p w14:paraId="341C8479">
      <w:pPr>
        <w:ind w:firstLine="640" w:firstLineChars="200"/>
        <w:rPr>
          <w:rFonts w:ascii="仿宋_GB2312" w:eastAsia="仿宋_GB2312"/>
          <w:sz w:val="32"/>
          <w:szCs w:val="32"/>
        </w:rPr>
      </w:pPr>
      <w:r>
        <w:rPr>
          <w:rFonts w:hint="eastAsia" w:ascii="仿宋_GB2312" w:eastAsia="仿宋_GB2312"/>
          <w:sz w:val="32"/>
          <w:szCs w:val="32"/>
        </w:rPr>
        <w:t>4.社会保障和就业支出（类）行政事业单位养老支出（款）机关事业单位职业年金缴费支出（项）:支出决算数为17.12万元，比上年决算增加7.76万元，增长82.91%，主要原因是：单位本年</w:t>
      </w:r>
      <w:r>
        <w:rPr>
          <w:rFonts w:hint="eastAsia" w:ascii="仿宋_GB2312" w:eastAsia="仿宋_GB2312"/>
          <w:sz w:val="32"/>
          <w:szCs w:val="32"/>
          <w:lang w:val="en-US" w:eastAsia="zh-CN"/>
        </w:rPr>
        <w:t>一次性</w:t>
      </w:r>
      <w:r>
        <w:rPr>
          <w:rFonts w:hint="eastAsia" w:ascii="仿宋_GB2312" w:eastAsia="仿宋_GB2312"/>
          <w:sz w:val="32"/>
          <w:szCs w:val="32"/>
        </w:rPr>
        <w:t>职业年金</w:t>
      </w:r>
      <w:r>
        <w:rPr>
          <w:rFonts w:hint="eastAsia" w:ascii="仿宋_GB2312" w:eastAsia="仿宋_GB2312"/>
          <w:sz w:val="32"/>
          <w:szCs w:val="32"/>
          <w:lang w:val="en-US" w:eastAsia="zh-CN"/>
        </w:rPr>
        <w:t>缴费增加</w:t>
      </w:r>
      <w:r>
        <w:rPr>
          <w:rFonts w:hint="eastAsia" w:ascii="仿宋_GB2312" w:eastAsia="仿宋_GB2312"/>
          <w:sz w:val="32"/>
          <w:szCs w:val="32"/>
        </w:rPr>
        <w:t>。</w:t>
      </w:r>
    </w:p>
    <w:p w14:paraId="4512E010">
      <w:pPr>
        <w:ind w:firstLine="640" w:firstLineChars="200"/>
        <w:rPr>
          <w:rFonts w:ascii="仿宋_GB2312" w:eastAsia="仿宋_GB2312"/>
          <w:sz w:val="32"/>
          <w:szCs w:val="32"/>
        </w:rPr>
      </w:pPr>
      <w:r>
        <w:rPr>
          <w:rFonts w:hint="eastAsia" w:ascii="仿宋_GB2312" w:eastAsia="仿宋_GB2312"/>
          <w:sz w:val="32"/>
          <w:szCs w:val="32"/>
        </w:rPr>
        <w:t>5.其他支出（类）其他支出（款）其他支出（项）:支出决算数为9.91万元，比上年决算增加6.51万元，增长191.47%，主要原因是：单位本年自治区为民办实事、办好事工作项目经费增加。</w:t>
      </w:r>
    </w:p>
    <w:p w14:paraId="002A91F2">
      <w:pPr>
        <w:ind w:firstLine="640" w:firstLineChars="200"/>
        <w:rPr>
          <w:rFonts w:ascii="仿宋_GB2312" w:eastAsia="仿宋_GB2312"/>
          <w:sz w:val="32"/>
          <w:szCs w:val="32"/>
        </w:rPr>
      </w:pPr>
      <w:r>
        <w:rPr>
          <w:rFonts w:hint="eastAsia" w:ascii="仿宋_GB2312" w:eastAsia="仿宋_GB2312"/>
          <w:sz w:val="32"/>
          <w:szCs w:val="32"/>
        </w:rPr>
        <w:t>6.住房保障支出（类）住房改革支出（款）住房公积金（项）:支出决算数为0.00万元，比上年决算减少28.40万元，下降100%，主要原因是：本年功能科目调整，此科目经费本年合并至主款科目核算，导致此经费减少。</w:t>
      </w:r>
    </w:p>
    <w:p w14:paraId="7C2D9301">
      <w:pPr>
        <w:ind w:firstLine="640" w:firstLineChars="200"/>
        <w:rPr>
          <w:rFonts w:ascii="仿宋_GB2312" w:eastAsia="仿宋_GB2312"/>
          <w:sz w:val="32"/>
          <w:szCs w:val="32"/>
        </w:rPr>
      </w:pPr>
      <w:r>
        <w:rPr>
          <w:rFonts w:hint="eastAsia" w:ascii="仿宋_GB2312" w:eastAsia="仿宋_GB2312"/>
          <w:sz w:val="32"/>
          <w:szCs w:val="32"/>
        </w:rPr>
        <w:t>7.社会保障和就业支出（类）行政事业单位养老支出（款）机关事业单位基本养老保险缴费支出（项）:支出决算数为0.00万元，比上年决算减少36.65万元，下降100%，主要原因是：本年功能科目调整，此科目经费本年合并至主款科目核算，导致此经费减少。</w:t>
      </w:r>
    </w:p>
    <w:p w14:paraId="7B6D8000">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32D48B25">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402.65万元，其中：人员经费394.84万元，包括：基本工资、津贴补贴、奖金、机关事业单位基本养老保险缴费、职业年金缴费、职工基本医疗保险缴费、公务员医疗补助缴费、其他社会保障缴费、住房公积金、退休费、奖励金、其他对个人和家庭的补助。</w:t>
      </w:r>
    </w:p>
    <w:p w14:paraId="304ADD9C">
      <w:pPr>
        <w:ind w:firstLine="640" w:firstLineChars="200"/>
        <w:rPr>
          <w:rFonts w:ascii="仿宋_GB2312" w:eastAsia="仿宋_GB2312"/>
          <w:sz w:val="32"/>
          <w:szCs w:val="32"/>
        </w:rPr>
      </w:pPr>
      <w:r>
        <w:rPr>
          <w:rFonts w:hint="eastAsia" w:ascii="仿宋_GB2312" w:eastAsia="仿宋_GB2312"/>
          <w:sz w:val="32"/>
          <w:szCs w:val="32"/>
        </w:rPr>
        <w:t>公用经费7.81万元，包括：办公费、水费、电费、邮电费、差旅费、公务接待费。</w:t>
      </w:r>
    </w:p>
    <w:p w14:paraId="4324841C">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6AED093A">
      <w:pPr>
        <w:ind w:firstLine="640" w:firstLineChars="200"/>
        <w:rPr>
          <w:rFonts w:ascii="仿宋_GB2312" w:eastAsia="仿宋_GB2312"/>
          <w:sz w:val="32"/>
          <w:szCs w:val="32"/>
        </w:rPr>
      </w:pPr>
      <w:r>
        <w:rPr>
          <w:rFonts w:hint="eastAsia" w:ascii="仿宋_GB2312" w:eastAsia="仿宋_GB2312"/>
          <w:sz w:val="32"/>
          <w:szCs w:val="32"/>
        </w:rPr>
        <w:t>2023年度财政拨款“三公”经费支出0.10万元，比上年减少0.03万元，下降23.08%,主要原因是：绿色出行，车辆维修维护费、燃油费等减少。其中：因公出国（境）费支出0.00万元，占0.00%，比上年增加0.00万元，增长0.00%,主要原因是：单位本年无此项经费；公务用车购置及运行维护费支出0.00万元，占0.00%，比上年减少0.13万元，下降100.00%,主要原因是：绿色出行，车辆维修维护费、燃油费等减少；公务接待费支出0.10万元，占100.00%，比上年增加0.10万元，增长100.00%,主要原因是：单位本年纪检监察巡视次数增加，公务接待次数增加。</w:t>
      </w:r>
    </w:p>
    <w:p w14:paraId="2287D4DB">
      <w:pPr>
        <w:ind w:firstLine="640" w:firstLineChars="200"/>
        <w:rPr>
          <w:rFonts w:ascii="仿宋_GB2312" w:eastAsia="仿宋_GB2312"/>
          <w:sz w:val="32"/>
          <w:szCs w:val="32"/>
        </w:rPr>
      </w:pPr>
      <w:r>
        <w:rPr>
          <w:rFonts w:hint="eastAsia" w:ascii="仿宋_GB2312" w:eastAsia="仿宋_GB2312"/>
          <w:sz w:val="32"/>
          <w:szCs w:val="32"/>
        </w:rPr>
        <w:t>具体情况如下：</w:t>
      </w:r>
    </w:p>
    <w:p w14:paraId="4FFDA6DB">
      <w:pPr>
        <w:ind w:firstLine="640" w:firstLineChars="200"/>
        <w:rPr>
          <w:rFonts w:ascii="仿宋_GB2312" w:eastAsia="仿宋_GB2312"/>
          <w:sz w:val="32"/>
          <w:szCs w:val="32"/>
        </w:rPr>
      </w:pPr>
      <w:r>
        <w:rPr>
          <w:rFonts w:hint="eastAsia" w:ascii="仿宋_GB2312" w:eastAsia="仿宋_GB2312"/>
          <w:sz w:val="32"/>
          <w:szCs w:val="32"/>
        </w:rPr>
        <w:t>因公出国（境）费支出0.00万元，开支内容包括单位本年无此项经费。单位全年安排的因公出国（境）团组0个，因公出国（境）0人次。</w:t>
      </w:r>
    </w:p>
    <w:p w14:paraId="50F6FC78">
      <w:pPr>
        <w:ind w:firstLine="640" w:firstLineChars="200"/>
        <w:rPr>
          <w:rFonts w:ascii="仿宋_GB2312" w:eastAsia="仿宋_GB2312"/>
          <w:sz w:val="32"/>
          <w:szCs w:val="32"/>
        </w:rPr>
      </w:pPr>
      <w:r>
        <w:rPr>
          <w:rFonts w:hint="eastAsia" w:ascii="仿宋_GB2312" w:eastAsia="仿宋_GB2312"/>
          <w:sz w:val="32"/>
          <w:szCs w:val="32"/>
        </w:rPr>
        <w:t>公务用车购置及运行维护费0.00万元，其中：公务用车购置费0.00万元，公务用车运行维护费0.00万元。公务用车运行维护费开支内容包括单位本年无此项经费。公务用车购置数0辆，公务用车保有量0辆。国有资产占用情况中固定资产车辆0辆，与公务用车保有量差异原因是：本单位固定资产车辆与公务用车保有量一致无差异。</w:t>
      </w:r>
    </w:p>
    <w:p w14:paraId="2E406A6D">
      <w:pPr>
        <w:ind w:firstLine="640" w:firstLineChars="200"/>
        <w:rPr>
          <w:rFonts w:ascii="仿宋_GB2312" w:eastAsia="仿宋_GB2312"/>
          <w:sz w:val="32"/>
          <w:szCs w:val="32"/>
        </w:rPr>
      </w:pPr>
      <w:r>
        <w:rPr>
          <w:rFonts w:hint="eastAsia" w:ascii="仿宋_GB2312" w:eastAsia="仿宋_GB2312"/>
          <w:sz w:val="32"/>
          <w:szCs w:val="32"/>
        </w:rPr>
        <w:t>公务接待费0.10万元，开支内容包括餐费、住宿费等。单位全年安排的国内公务接待3批次，20人次。</w:t>
      </w:r>
    </w:p>
    <w:p w14:paraId="783FA179">
      <w:pPr>
        <w:ind w:firstLine="640" w:firstLineChars="200"/>
        <w:rPr>
          <w:rFonts w:ascii="仿宋_GB2312" w:eastAsia="仿宋_GB2312"/>
          <w:sz w:val="32"/>
          <w:szCs w:val="32"/>
        </w:rPr>
      </w:pPr>
      <w:r>
        <w:rPr>
          <w:rFonts w:hint="eastAsia" w:ascii="仿宋_GB2312" w:eastAsia="仿宋_GB2312"/>
          <w:sz w:val="32"/>
          <w:szCs w:val="32"/>
        </w:rPr>
        <w:t>与全年预算相比</w:t>
      </w:r>
      <w:bookmarkStart w:id="48" w:name="_GoBack"/>
      <w:r>
        <w:rPr>
          <w:rFonts w:hint="eastAsia" w:ascii="仿宋_GB2312" w:eastAsia="仿宋_GB2312"/>
          <w:sz w:val="32"/>
          <w:szCs w:val="32"/>
        </w:rPr>
        <w:t>,</w:t>
      </w:r>
      <w:bookmarkEnd w:id="48"/>
      <w:r>
        <w:rPr>
          <w:rFonts w:hint="eastAsia" w:ascii="仿宋_GB2312" w:eastAsia="仿宋_GB2312"/>
          <w:sz w:val="32"/>
          <w:szCs w:val="32"/>
        </w:rPr>
        <w:t>财政拨款“三公”经费支出全年预算数0.10万元，决算数0.10万元，预决算差异率0.00%，主要原因是：严格按预算执行，预决算对比无差异。其中：因公出国（境）费全年预算数0.00万元，决算数0.00万元，预决算差异率0.00%，主要原因是：单位本年无此项经费；公务用车购置费全年预算数0.00万元，决算数0.00万元，预决算差异率0.00%，主要原因是：单位本年无此项经费；公务用车运行费全年预算数0.00万元，决算数0.00万元，预决算差异率0.00%，主要原因是：单位本年无此项经费；公务接待费全年预算数0.10万元，决算数0.10万元，预决算差异率0.00%，主要原因是：严格按预算执行，预决算对比无差异。</w:t>
      </w:r>
    </w:p>
    <w:p w14:paraId="3C22A2E8">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32DF5778">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4F910406">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7F25AC6F">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76501CCD">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7A6DCC52">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61445CB3">
      <w:pPr>
        <w:ind w:firstLine="640" w:firstLineChars="200"/>
        <w:rPr>
          <w:rFonts w:ascii="仿宋_GB2312" w:eastAsia="仿宋_GB2312"/>
          <w:sz w:val="32"/>
          <w:szCs w:val="32"/>
        </w:rPr>
      </w:pPr>
      <w:bookmarkStart w:id="24" w:name="_Toc227"/>
      <w:bookmarkStart w:id="25" w:name="_Toc26704"/>
      <w:r>
        <w:rPr>
          <w:rFonts w:hint="eastAsia" w:ascii="仿宋_GB2312" w:eastAsia="仿宋_GB2312"/>
          <w:sz w:val="32"/>
          <w:szCs w:val="32"/>
        </w:rPr>
        <w:t>2023年度中共木垒哈萨克自治县委员会党校（事业单位）公用经费支出7.81万元，比上年减少9.07万元，下降53.73%，主要原因是：单位本年办公费、水费、电费、差旅费减少。</w:t>
      </w:r>
    </w:p>
    <w:p w14:paraId="16A5230F">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583EBCBB">
      <w:pPr>
        <w:ind w:firstLine="640" w:firstLineChars="200"/>
        <w:rPr>
          <w:rFonts w:ascii="仿宋_GB2312" w:eastAsia="仿宋_GB2312"/>
          <w:sz w:val="32"/>
          <w:szCs w:val="32"/>
        </w:rPr>
      </w:pPr>
      <w:r>
        <w:rPr>
          <w:rFonts w:hint="eastAsia" w:ascii="仿宋_GB2312" w:eastAsia="仿宋_GB2312"/>
          <w:sz w:val="32"/>
          <w:szCs w:val="32"/>
        </w:rPr>
        <w:t>2023年度政府采购支出总额22.73万元，其中：政府采购货物支出9.79万元、政府采购工程支出2.27万元、政府采购服务支出10.67万元。</w:t>
      </w:r>
    </w:p>
    <w:p w14:paraId="79DB3A4E">
      <w:pPr>
        <w:ind w:firstLine="640" w:firstLineChars="200"/>
        <w:rPr>
          <w:rFonts w:ascii="仿宋_GB2312" w:eastAsia="仿宋_GB2312"/>
          <w:sz w:val="32"/>
          <w:szCs w:val="32"/>
        </w:rPr>
      </w:pPr>
      <w:r>
        <w:rPr>
          <w:rFonts w:hint="eastAsia" w:ascii="仿宋_GB2312" w:eastAsia="仿宋_GB2312"/>
          <w:sz w:val="32"/>
          <w:szCs w:val="32"/>
        </w:rPr>
        <w:t>授予中小企业合同金额18.30万元，占政府采购支出总额的80.51</w:t>
      </w:r>
      <w:r>
        <w:rPr>
          <w:rFonts w:ascii="仿宋_GB2312" w:eastAsia="仿宋_GB2312"/>
          <w:sz w:val="32"/>
          <w:szCs w:val="32"/>
        </w:rPr>
        <w:t>%</w:t>
      </w:r>
      <w:r>
        <w:rPr>
          <w:rFonts w:hint="eastAsia" w:ascii="仿宋_GB2312" w:eastAsia="仿宋_GB2312"/>
          <w:sz w:val="32"/>
          <w:szCs w:val="32"/>
        </w:rPr>
        <w:t>，其中：授予小微企业合同金额18.30万元，占政府采购支出总额的80.51</w:t>
      </w:r>
      <w:r>
        <w:rPr>
          <w:rFonts w:ascii="仿宋_GB2312" w:eastAsia="仿宋_GB2312"/>
          <w:sz w:val="32"/>
          <w:szCs w:val="32"/>
        </w:rPr>
        <w:t>%</w:t>
      </w:r>
      <w:r>
        <w:rPr>
          <w:rFonts w:hint="eastAsia" w:ascii="仿宋_GB2312" w:eastAsia="仿宋_GB2312"/>
          <w:sz w:val="32"/>
          <w:szCs w:val="32"/>
        </w:rPr>
        <w:t>。</w:t>
      </w:r>
    </w:p>
    <w:p w14:paraId="6A58C383">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6A51581F">
      <w:pPr>
        <w:ind w:firstLine="640" w:firstLineChars="200"/>
        <w:rPr>
          <w:rFonts w:ascii="仿宋_GB2312" w:eastAsia="仿宋_GB2312"/>
          <w:sz w:val="32"/>
          <w:szCs w:val="32"/>
        </w:rPr>
      </w:pPr>
      <w:r>
        <w:rPr>
          <w:rFonts w:hint="eastAsia" w:ascii="仿宋_GB2312" w:eastAsia="仿宋_GB2312"/>
          <w:sz w:val="32"/>
          <w:szCs w:val="32"/>
        </w:rPr>
        <w:t>截至2023年12月31日，固定资产原值1,515.90万元，房屋6,618.99平方米，价值1,283.03万元。车辆0辆，价值0.00万元，其中：副部（省）级及以上领导用车0辆、主要负责人用车0辆、机要通信用车0辆、应急保障用车0辆、执法执勤用车0辆、特种专业技术用车0辆、离退休干部服务用车0辆、其他用车0辆，其他用车主要是：单位无其他车辆；单价100万元（含）以上设备（不含车辆）0台（套）。</w:t>
      </w:r>
    </w:p>
    <w:p w14:paraId="4DAE8DCE">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3C82EAEF">
      <w:pPr>
        <w:ind w:firstLine="640" w:firstLineChars="200"/>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预算总额501.65万元，实际执行总额501.61万元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预算绩效评价项目0个，全年预算数0.00万元，全年执行数0.00万元。预算绩效管理取得的成效：一是强化预算资金管理</w:t>
      </w:r>
      <w:r>
        <w:rPr>
          <w:rFonts w:hint="eastAsia" w:ascii="仿宋_GB2312" w:eastAsia="仿宋_GB2312"/>
          <w:sz w:val="32"/>
          <w:szCs w:val="32"/>
          <w:lang w:eastAsia="zh-CN"/>
        </w:rPr>
        <w:t>，</w:t>
      </w:r>
      <w:r>
        <w:rPr>
          <w:rFonts w:hint="eastAsia" w:ascii="仿宋_GB2312" w:eastAsia="仿宋_GB2312"/>
          <w:sz w:val="32"/>
          <w:szCs w:val="32"/>
        </w:rPr>
        <w:t>做好群众服务工作，保障社会大局稳定；二是加强绩效考评，推动预算绩效动态管理</w:t>
      </w:r>
      <w:r>
        <w:rPr>
          <w:rFonts w:hint="eastAsia" w:ascii="仿宋_GB2312" w:eastAsia="仿宋_GB2312"/>
          <w:sz w:val="32"/>
          <w:szCs w:val="32"/>
          <w:lang w:eastAsia="zh-CN"/>
        </w:rPr>
        <w:t>，</w:t>
      </w:r>
      <w:r>
        <w:rPr>
          <w:rFonts w:hint="eastAsia" w:ascii="仿宋_GB2312" w:eastAsia="仿宋_GB2312"/>
          <w:sz w:val="32"/>
          <w:szCs w:val="32"/>
        </w:rPr>
        <w:t>促进统筹规划和综合协调，提升人居环境质量</w:t>
      </w:r>
      <w:r>
        <w:rPr>
          <w:rFonts w:hint="eastAsia" w:ascii="仿宋_GB2312" w:eastAsia="仿宋_GB2312"/>
          <w:sz w:val="32"/>
          <w:szCs w:val="32"/>
          <w:lang w:eastAsia="zh-CN"/>
        </w:rPr>
        <w:t>，</w:t>
      </w:r>
      <w:r>
        <w:rPr>
          <w:rFonts w:hint="eastAsia" w:ascii="仿宋_GB2312" w:eastAsia="仿宋_GB2312"/>
          <w:sz w:val="32"/>
          <w:szCs w:val="32"/>
        </w:rPr>
        <w:t>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具体项目自评情况附绩效自评表及自评报告。</w:t>
      </w:r>
    </w:p>
    <w:tbl>
      <w:tblPr>
        <w:tblStyle w:val="9"/>
        <w:tblW w:w="0" w:type="auto"/>
        <w:tblInd w:w="0" w:type="dxa"/>
        <w:tblLayout w:type="autofit"/>
        <w:tblCellMar>
          <w:top w:w="0" w:type="dxa"/>
          <w:left w:w="108" w:type="dxa"/>
          <w:bottom w:w="0" w:type="dxa"/>
          <w:right w:w="108" w:type="dxa"/>
        </w:tblCellMar>
      </w:tblPr>
      <w:tblGrid>
        <w:gridCol w:w="1815"/>
        <w:gridCol w:w="1015"/>
        <w:gridCol w:w="1060"/>
        <w:gridCol w:w="1054"/>
        <w:gridCol w:w="1231"/>
        <w:gridCol w:w="887"/>
        <w:gridCol w:w="844"/>
        <w:gridCol w:w="616"/>
      </w:tblGrid>
      <w:tr w14:paraId="00F067BF">
        <w:tblPrEx>
          <w:tblCellMar>
            <w:top w:w="0" w:type="dxa"/>
            <w:left w:w="108" w:type="dxa"/>
            <w:bottom w:w="0" w:type="dxa"/>
            <w:right w:w="108" w:type="dxa"/>
          </w:tblCellMar>
        </w:tblPrEx>
        <w:trPr>
          <w:trHeight w:val="523" w:hRule="atLeast"/>
        </w:trPr>
        <w:tc>
          <w:tcPr>
            <w:tcW w:w="0" w:type="auto"/>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2D3C64B6">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2E310D10">
        <w:tblPrEx>
          <w:tblCellMar>
            <w:top w:w="0" w:type="dxa"/>
            <w:left w:w="108" w:type="dxa"/>
            <w:bottom w:w="0" w:type="dxa"/>
            <w:right w:w="108" w:type="dxa"/>
          </w:tblCellMar>
        </w:tblPrEx>
        <w:trPr>
          <w:trHeight w:val="360" w:hRule="atLeast"/>
        </w:trPr>
        <w:tc>
          <w:tcPr>
            <w:tcW w:w="0" w:type="auto"/>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21C8C4C2">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5CC11F49">
        <w:tblPrEx>
          <w:tblCellMar>
            <w:top w:w="0" w:type="dxa"/>
            <w:left w:w="108" w:type="dxa"/>
            <w:bottom w:w="0" w:type="dxa"/>
            <w:right w:w="108" w:type="dxa"/>
          </w:tblCellMar>
        </w:tblPrEx>
        <w:trPr>
          <w:trHeight w:val="66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2ACEE1D6">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0" w:type="auto"/>
            <w:gridSpan w:val="7"/>
            <w:tcBorders>
              <w:top w:val="single" w:color="auto" w:sz="4" w:space="0"/>
              <w:left w:val="nil"/>
              <w:bottom w:val="single" w:color="auto" w:sz="4" w:space="0"/>
              <w:right w:val="single" w:color="auto" w:sz="4" w:space="0"/>
            </w:tcBorders>
            <w:shd w:val="clear" w:color="auto" w:fill="auto"/>
            <w:noWrap/>
            <w:vAlign w:val="center"/>
          </w:tcPr>
          <w:p w14:paraId="5DBAA7B8">
            <w:pPr>
              <w:widowControl/>
              <w:jc w:val="center"/>
              <w:rPr>
                <w:rFonts w:hint="eastAsia" w:ascii="宋体" w:hAnsi="宋体" w:cs="宋体"/>
                <w:kern w:val="0"/>
                <w:sz w:val="20"/>
                <w:szCs w:val="20"/>
              </w:rPr>
            </w:pPr>
            <w:r>
              <w:rPr>
                <w:rFonts w:hint="eastAsia" w:ascii="宋体" w:hAnsi="宋体" w:cs="宋体"/>
                <w:kern w:val="0"/>
                <w:sz w:val="20"/>
                <w:szCs w:val="20"/>
              </w:rPr>
              <w:t>木垒县党校</w:t>
            </w:r>
          </w:p>
        </w:tc>
      </w:tr>
      <w:tr w14:paraId="5C24926E">
        <w:tblPrEx>
          <w:tblCellMar>
            <w:top w:w="0" w:type="dxa"/>
            <w:left w:w="108" w:type="dxa"/>
            <w:bottom w:w="0" w:type="dxa"/>
            <w:right w:w="108" w:type="dxa"/>
          </w:tblCellMar>
        </w:tblPrEx>
        <w:trPr>
          <w:trHeight w:val="57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7DA2927">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0" w:type="auto"/>
            <w:tcBorders>
              <w:top w:val="nil"/>
              <w:left w:val="nil"/>
              <w:bottom w:val="single" w:color="auto" w:sz="4" w:space="0"/>
              <w:right w:val="single" w:color="auto" w:sz="4" w:space="0"/>
            </w:tcBorders>
            <w:shd w:val="clear" w:color="auto" w:fill="auto"/>
            <w:vAlign w:val="center"/>
          </w:tcPr>
          <w:p w14:paraId="0769C41E">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1060" w:type="dxa"/>
            <w:tcBorders>
              <w:top w:val="nil"/>
              <w:left w:val="nil"/>
              <w:bottom w:val="single" w:color="auto" w:sz="4" w:space="0"/>
              <w:right w:val="single" w:color="auto" w:sz="4" w:space="0"/>
            </w:tcBorders>
            <w:shd w:val="clear" w:color="auto" w:fill="auto"/>
            <w:vAlign w:val="center"/>
          </w:tcPr>
          <w:p w14:paraId="7F956B9E">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1054" w:type="dxa"/>
            <w:tcBorders>
              <w:top w:val="nil"/>
              <w:left w:val="nil"/>
              <w:bottom w:val="single" w:color="auto" w:sz="4" w:space="0"/>
              <w:right w:val="single" w:color="auto" w:sz="4" w:space="0"/>
            </w:tcBorders>
            <w:shd w:val="clear" w:color="auto" w:fill="auto"/>
            <w:vAlign w:val="center"/>
          </w:tcPr>
          <w:p w14:paraId="224E797F">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1231" w:type="dxa"/>
            <w:tcBorders>
              <w:top w:val="nil"/>
              <w:left w:val="nil"/>
              <w:bottom w:val="single" w:color="auto" w:sz="4" w:space="0"/>
              <w:right w:val="single" w:color="auto" w:sz="4" w:space="0"/>
            </w:tcBorders>
            <w:shd w:val="clear" w:color="auto" w:fill="auto"/>
            <w:vAlign w:val="center"/>
          </w:tcPr>
          <w:p w14:paraId="3797C299">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887" w:type="dxa"/>
            <w:tcBorders>
              <w:top w:val="nil"/>
              <w:left w:val="nil"/>
              <w:bottom w:val="single" w:color="auto" w:sz="4" w:space="0"/>
              <w:right w:val="single" w:color="auto" w:sz="4" w:space="0"/>
            </w:tcBorders>
            <w:shd w:val="clear" w:color="auto" w:fill="auto"/>
            <w:vAlign w:val="center"/>
          </w:tcPr>
          <w:p w14:paraId="541129AB">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844" w:type="dxa"/>
            <w:tcBorders>
              <w:top w:val="nil"/>
              <w:left w:val="nil"/>
              <w:bottom w:val="single" w:color="auto" w:sz="4" w:space="0"/>
              <w:right w:val="single" w:color="auto" w:sz="4" w:space="0"/>
            </w:tcBorders>
            <w:shd w:val="clear" w:color="auto" w:fill="auto"/>
            <w:vAlign w:val="center"/>
          </w:tcPr>
          <w:p w14:paraId="317866E7">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616" w:type="dxa"/>
            <w:tcBorders>
              <w:top w:val="nil"/>
              <w:left w:val="nil"/>
              <w:bottom w:val="single" w:color="auto" w:sz="4" w:space="0"/>
              <w:right w:val="single" w:color="auto" w:sz="4" w:space="0"/>
            </w:tcBorders>
            <w:shd w:val="clear" w:color="auto" w:fill="auto"/>
            <w:vAlign w:val="center"/>
          </w:tcPr>
          <w:p w14:paraId="73108754">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7F6793FA">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2127BFA">
            <w:pPr>
              <w:widowControl/>
              <w:jc w:val="left"/>
              <w:rPr>
                <w:rFonts w:hint="eastAsia" w:ascii="宋体" w:hAnsi="宋体" w:cs="宋体"/>
                <w:kern w:val="0"/>
                <w:sz w:val="20"/>
                <w:szCs w:val="20"/>
              </w:rPr>
            </w:pPr>
          </w:p>
        </w:tc>
        <w:tc>
          <w:tcPr>
            <w:tcW w:w="0" w:type="auto"/>
            <w:tcBorders>
              <w:top w:val="nil"/>
              <w:left w:val="nil"/>
              <w:bottom w:val="single" w:color="auto" w:sz="4" w:space="0"/>
              <w:right w:val="single" w:color="auto" w:sz="4" w:space="0"/>
            </w:tcBorders>
            <w:shd w:val="clear" w:color="auto" w:fill="auto"/>
            <w:noWrap/>
            <w:vAlign w:val="center"/>
          </w:tcPr>
          <w:p w14:paraId="1A2ADC85">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1060" w:type="dxa"/>
            <w:tcBorders>
              <w:top w:val="nil"/>
              <w:left w:val="nil"/>
              <w:bottom w:val="single" w:color="auto" w:sz="4" w:space="0"/>
              <w:right w:val="single" w:color="auto" w:sz="4" w:space="0"/>
            </w:tcBorders>
            <w:shd w:val="clear" w:color="auto" w:fill="auto"/>
            <w:vAlign w:val="center"/>
          </w:tcPr>
          <w:p w14:paraId="795AA4B8">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054" w:type="dxa"/>
            <w:tcBorders>
              <w:top w:val="nil"/>
              <w:left w:val="nil"/>
              <w:bottom w:val="single" w:color="auto" w:sz="4" w:space="0"/>
              <w:right w:val="single" w:color="auto" w:sz="4" w:space="0"/>
            </w:tcBorders>
            <w:shd w:val="clear" w:color="auto" w:fill="auto"/>
            <w:vAlign w:val="center"/>
          </w:tcPr>
          <w:p w14:paraId="256E25D9">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31" w:type="dxa"/>
            <w:tcBorders>
              <w:top w:val="nil"/>
              <w:left w:val="nil"/>
              <w:bottom w:val="single" w:color="auto" w:sz="4" w:space="0"/>
              <w:right w:val="single" w:color="auto" w:sz="4" w:space="0"/>
            </w:tcBorders>
            <w:shd w:val="clear" w:color="auto" w:fill="auto"/>
            <w:vAlign w:val="center"/>
          </w:tcPr>
          <w:p w14:paraId="0DAECB2E">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887" w:type="dxa"/>
            <w:tcBorders>
              <w:top w:val="nil"/>
              <w:left w:val="nil"/>
              <w:bottom w:val="single" w:color="auto" w:sz="4" w:space="0"/>
              <w:right w:val="single" w:color="auto" w:sz="4" w:space="0"/>
            </w:tcBorders>
            <w:shd w:val="clear" w:color="auto" w:fill="auto"/>
            <w:vAlign w:val="center"/>
          </w:tcPr>
          <w:p w14:paraId="05B552EB">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844" w:type="dxa"/>
            <w:tcBorders>
              <w:top w:val="nil"/>
              <w:left w:val="nil"/>
              <w:bottom w:val="single" w:color="auto" w:sz="4" w:space="0"/>
              <w:right w:val="single" w:color="auto" w:sz="4" w:space="0"/>
            </w:tcBorders>
            <w:shd w:val="clear" w:color="auto" w:fill="auto"/>
            <w:vAlign w:val="center"/>
          </w:tcPr>
          <w:p w14:paraId="183AC57C">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616" w:type="dxa"/>
            <w:tcBorders>
              <w:top w:val="nil"/>
              <w:left w:val="nil"/>
              <w:bottom w:val="single" w:color="auto" w:sz="4" w:space="0"/>
              <w:right w:val="single" w:color="auto" w:sz="4" w:space="0"/>
            </w:tcBorders>
            <w:shd w:val="clear" w:color="auto" w:fill="auto"/>
            <w:vAlign w:val="center"/>
          </w:tcPr>
          <w:p w14:paraId="21B6DDCC">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033ADFFF">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3A4D8DA">
            <w:pPr>
              <w:widowControl/>
              <w:jc w:val="left"/>
              <w:rPr>
                <w:rFonts w:hint="eastAsia" w:ascii="宋体" w:hAnsi="宋体" w:cs="宋体"/>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262006ED">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1060" w:type="dxa"/>
            <w:tcBorders>
              <w:top w:val="nil"/>
              <w:left w:val="nil"/>
              <w:bottom w:val="single" w:color="auto" w:sz="4" w:space="0"/>
              <w:right w:val="single" w:color="auto" w:sz="4" w:space="0"/>
            </w:tcBorders>
            <w:shd w:val="clear" w:color="auto" w:fill="auto"/>
            <w:vAlign w:val="center"/>
          </w:tcPr>
          <w:p w14:paraId="35B682DF">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054" w:type="dxa"/>
            <w:tcBorders>
              <w:top w:val="nil"/>
              <w:left w:val="nil"/>
              <w:bottom w:val="single" w:color="auto" w:sz="4" w:space="0"/>
              <w:right w:val="single" w:color="auto" w:sz="4" w:space="0"/>
            </w:tcBorders>
            <w:shd w:val="clear" w:color="auto" w:fill="auto"/>
            <w:vAlign w:val="center"/>
          </w:tcPr>
          <w:p w14:paraId="35C77782">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31" w:type="dxa"/>
            <w:tcBorders>
              <w:top w:val="nil"/>
              <w:left w:val="nil"/>
              <w:bottom w:val="single" w:color="auto" w:sz="4" w:space="0"/>
              <w:right w:val="single" w:color="auto" w:sz="4" w:space="0"/>
            </w:tcBorders>
            <w:shd w:val="clear" w:color="auto" w:fill="auto"/>
            <w:vAlign w:val="center"/>
          </w:tcPr>
          <w:p w14:paraId="40408F8B">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887" w:type="dxa"/>
            <w:tcBorders>
              <w:top w:val="nil"/>
              <w:left w:val="nil"/>
              <w:bottom w:val="single" w:color="auto" w:sz="4" w:space="0"/>
              <w:right w:val="single" w:color="auto" w:sz="4" w:space="0"/>
            </w:tcBorders>
            <w:shd w:val="clear" w:color="auto" w:fill="auto"/>
            <w:vAlign w:val="center"/>
          </w:tcPr>
          <w:p w14:paraId="07CF8EC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4" w:type="dxa"/>
            <w:tcBorders>
              <w:top w:val="nil"/>
              <w:left w:val="nil"/>
              <w:bottom w:val="single" w:color="auto" w:sz="4" w:space="0"/>
              <w:right w:val="single" w:color="auto" w:sz="4" w:space="0"/>
            </w:tcBorders>
            <w:shd w:val="clear" w:color="auto" w:fill="auto"/>
            <w:vAlign w:val="center"/>
          </w:tcPr>
          <w:p w14:paraId="40A451FD">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14:paraId="7AEA2282">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0D073E49">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4AFFC67">
            <w:pPr>
              <w:widowControl/>
              <w:jc w:val="left"/>
              <w:rPr>
                <w:rFonts w:hint="eastAsia" w:ascii="宋体" w:hAnsi="宋体" w:cs="宋体"/>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6E72A8D3">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1060" w:type="dxa"/>
            <w:tcBorders>
              <w:top w:val="nil"/>
              <w:left w:val="nil"/>
              <w:bottom w:val="single" w:color="auto" w:sz="4" w:space="0"/>
              <w:right w:val="single" w:color="auto" w:sz="4" w:space="0"/>
            </w:tcBorders>
            <w:shd w:val="clear" w:color="auto" w:fill="auto"/>
            <w:vAlign w:val="center"/>
          </w:tcPr>
          <w:p w14:paraId="3FC39A55">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054" w:type="dxa"/>
            <w:tcBorders>
              <w:top w:val="nil"/>
              <w:left w:val="nil"/>
              <w:bottom w:val="single" w:color="auto" w:sz="4" w:space="0"/>
              <w:right w:val="single" w:color="auto" w:sz="4" w:space="0"/>
            </w:tcBorders>
            <w:shd w:val="clear" w:color="auto" w:fill="auto"/>
            <w:vAlign w:val="center"/>
          </w:tcPr>
          <w:p w14:paraId="4E048AF7">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31" w:type="dxa"/>
            <w:tcBorders>
              <w:top w:val="nil"/>
              <w:left w:val="nil"/>
              <w:bottom w:val="single" w:color="auto" w:sz="4" w:space="0"/>
              <w:right w:val="single" w:color="auto" w:sz="4" w:space="0"/>
            </w:tcBorders>
            <w:shd w:val="clear" w:color="auto" w:fill="auto"/>
            <w:vAlign w:val="center"/>
          </w:tcPr>
          <w:p w14:paraId="1F5408A3">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887" w:type="dxa"/>
            <w:tcBorders>
              <w:top w:val="nil"/>
              <w:left w:val="nil"/>
              <w:bottom w:val="single" w:color="auto" w:sz="4" w:space="0"/>
              <w:right w:val="single" w:color="auto" w:sz="4" w:space="0"/>
            </w:tcBorders>
            <w:shd w:val="clear" w:color="auto" w:fill="auto"/>
            <w:vAlign w:val="center"/>
          </w:tcPr>
          <w:p w14:paraId="75DC260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4" w:type="dxa"/>
            <w:tcBorders>
              <w:top w:val="nil"/>
              <w:left w:val="nil"/>
              <w:bottom w:val="single" w:color="auto" w:sz="4" w:space="0"/>
              <w:right w:val="single" w:color="auto" w:sz="4" w:space="0"/>
            </w:tcBorders>
            <w:shd w:val="clear" w:color="auto" w:fill="auto"/>
            <w:vAlign w:val="center"/>
          </w:tcPr>
          <w:p w14:paraId="19AD0D48">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14:paraId="1EE33223">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42D79D10">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9ED3AA1">
            <w:pPr>
              <w:widowControl/>
              <w:jc w:val="left"/>
              <w:rPr>
                <w:rFonts w:hint="eastAsia" w:ascii="宋体" w:hAnsi="宋体" w:cs="宋体"/>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4CEF1099">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1060" w:type="dxa"/>
            <w:tcBorders>
              <w:top w:val="nil"/>
              <w:left w:val="nil"/>
              <w:bottom w:val="single" w:color="auto" w:sz="4" w:space="0"/>
              <w:right w:val="single" w:color="auto" w:sz="4" w:space="0"/>
            </w:tcBorders>
            <w:shd w:val="clear" w:color="auto" w:fill="auto"/>
            <w:vAlign w:val="center"/>
          </w:tcPr>
          <w:p w14:paraId="0A5C9CD2">
            <w:pPr>
              <w:widowControl/>
              <w:jc w:val="center"/>
              <w:rPr>
                <w:rFonts w:hint="eastAsia" w:ascii="宋体" w:hAnsi="宋体" w:cs="宋体"/>
                <w:kern w:val="0"/>
                <w:sz w:val="20"/>
                <w:szCs w:val="20"/>
              </w:rPr>
            </w:pPr>
            <w:r>
              <w:rPr>
                <w:rFonts w:hint="eastAsia" w:ascii="宋体" w:hAnsi="宋体" w:cs="宋体"/>
                <w:kern w:val="0"/>
                <w:sz w:val="20"/>
                <w:szCs w:val="20"/>
              </w:rPr>
              <w:t>373.36</w:t>
            </w:r>
          </w:p>
        </w:tc>
        <w:tc>
          <w:tcPr>
            <w:tcW w:w="1054" w:type="dxa"/>
            <w:tcBorders>
              <w:top w:val="nil"/>
              <w:left w:val="nil"/>
              <w:bottom w:val="single" w:color="auto" w:sz="4" w:space="0"/>
              <w:right w:val="single" w:color="auto" w:sz="4" w:space="0"/>
            </w:tcBorders>
            <w:shd w:val="clear" w:color="auto" w:fill="auto"/>
            <w:vAlign w:val="center"/>
          </w:tcPr>
          <w:p w14:paraId="1DF8D299">
            <w:pPr>
              <w:widowControl/>
              <w:jc w:val="center"/>
              <w:rPr>
                <w:rFonts w:hint="eastAsia" w:ascii="宋体" w:hAnsi="宋体" w:cs="宋体"/>
                <w:kern w:val="0"/>
                <w:sz w:val="20"/>
                <w:szCs w:val="20"/>
              </w:rPr>
            </w:pPr>
            <w:r>
              <w:rPr>
                <w:rFonts w:hint="eastAsia" w:ascii="宋体" w:hAnsi="宋体" w:cs="宋体"/>
                <w:kern w:val="0"/>
                <w:sz w:val="20"/>
                <w:szCs w:val="20"/>
              </w:rPr>
              <w:t>501.65</w:t>
            </w:r>
          </w:p>
        </w:tc>
        <w:tc>
          <w:tcPr>
            <w:tcW w:w="1231" w:type="dxa"/>
            <w:tcBorders>
              <w:top w:val="nil"/>
              <w:left w:val="nil"/>
              <w:bottom w:val="single" w:color="auto" w:sz="4" w:space="0"/>
              <w:right w:val="single" w:color="auto" w:sz="4" w:space="0"/>
            </w:tcBorders>
            <w:shd w:val="clear" w:color="auto" w:fill="auto"/>
            <w:vAlign w:val="center"/>
          </w:tcPr>
          <w:p w14:paraId="6DB3F4CC">
            <w:pPr>
              <w:widowControl/>
              <w:jc w:val="center"/>
              <w:rPr>
                <w:rFonts w:hint="eastAsia" w:ascii="宋体" w:hAnsi="宋体" w:cs="宋体"/>
                <w:kern w:val="0"/>
                <w:sz w:val="20"/>
                <w:szCs w:val="20"/>
              </w:rPr>
            </w:pPr>
            <w:r>
              <w:rPr>
                <w:rFonts w:hint="eastAsia" w:ascii="宋体" w:hAnsi="宋体" w:cs="宋体"/>
                <w:kern w:val="0"/>
                <w:sz w:val="20"/>
                <w:szCs w:val="20"/>
              </w:rPr>
              <w:t>501.61</w:t>
            </w:r>
          </w:p>
        </w:tc>
        <w:tc>
          <w:tcPr>
            <w:tcW w:w="887" w:type="dxa"/>
            <w:tcBorders>
              <w:top w:val="nil"/>
              <w:left w:val="nil"/>
              <w:bottom w:val="single" w:color="auto" w:sz="4" w:space="0"/>
              <w:right w:val="single" w:color="auto" w:sz="4" w:space="0"/>
            </w:tcBorders>
            <w:shd w:val="clear" w:color="auto" w:fill="auto"/>
            <w:vAlign w:val="center"/>
          </w:tcPr>
          <w:p w14:paraId="2BC31F4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4" w:type="dxa"/>
            <w:tcBorders>
              <w:top w:val="nil"/>
              <w:left w:val="nil"/>
              <w:bottom w:val="single" w:color="auto" w:sz="4" w:space="0"/>
              <w:right w:val="single" w:color="auto" w:sz="4" w:space="0"/>
            </w:tcBorders>
            <w:shd w:val="clear" w:color="auto" w:fill="auto"/>
            <w:vAlign w:val="center"/>
          </w:tcPr>
          <w:p w14:paraId="7794F46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14:paraId="28724541">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7E4D733F">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4B14F78">
            <w:pPr>
              <w:widowControl/>
              <w:jc w:val="left"/>
              <w:rPr>
                <w:rFonts w:hint="eastAsia" w:ascii="宋体" w:hAnsi="宋体" w:cs="宋体"/>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01429493">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060" w:type="dxa"/>
            <w:tcBorders>
              <w:top w:val="nil"/>
              <w:left w:val="nil"/>
              <w:bottom w:val="single" w:color="auto" w:sz="4" w:space="0"/>
              <w:right w:val="single" w:color="auto" w:sz="4" w:space="0"/>
            </w:tcBorders>
            <w:shd w:val="clear" w:color="auto" w:fill="auto"/>
            <w:vAlign w:val="center"/>
          </w:tcPr>
          <w:p w14:paraId="724A870B">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054" w:type="dxa"/>
            <w:tcBorders>
              <w:top w:val="nil"/>
              <w:left w:val="nil"/>
              <w:bottom w:val="single" w:color="auto" w:sz="4" w:space="0"/>
              <w:right w:val="single" w:color="auto" w:sz="4" w:space="0"/>
            </w:tcBorders>
            <w:shd w:val="clear" w:color="auto" w:fill="auto"/>
            <w:vAlign w:val="center"/>
          </w:tcPr>
          <w:p w14:paraId="302BA151">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31" w:type="dxa"/>
            <w:tcBorders>
              <w:top w:val="nil"/>
              <w:left w:val="nil"/>
              <w:bottom w:val="single" w:color="auto" w:sz="4" w:space="0"/>
              <w:right w:val="single" w:color="auto" w:sz="4" w:space="0"/>
            </w:tcBorders>
            <w:shd w:val="clear" w:color="auto" w:fill="auto"/>
            <w:vAlign w:val="center"/>
          </w:tcPr>
          <w:p w14:paraId="14D86A3C">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887" w:type="dxa"/>
            <w:tcBorders>
              <w:top w:val="nil"/>
              <w:left w:val="nil"/>
              <w:bottom w:val="single" w:color="auto" w:sz="4" w:space="0"/>
              <w:right w:val="single" w:color="auto" w:sz="4" w:space="0"/>
            </w:tcBorders>
            <w:shd w:val="clear" w:color="auto" w:fill="auto"/>
            <w:vAlign w:val="center"/>
          </w:tcPr>
          <w:p w14:paraId="4D70300D">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4" w:type="dxa"/>
            <w:tcBorders>
              <w:top w:val="nil"/>
              <w:left w:val="nil"/>
              <w:bottom w:val="single" w:color="auto" w:sz="4" w:space="0"/>
              <w:right w:val="single" w:color="auto" w:sz="4" w:space="0"/>
            </w:tcBorders>
            <w:shd w:val="clear" w:color="auto" w:fill="auto"/>
            <w:vAlign w:val="center"/>
          </w:tcPr>
          <w:p w14:paraId="63F03BA9">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14:paraId="122DB38A">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5EBB3482">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C4B27FA">
            <w:pPr>
              <w:widowControl/>
              <w:jc w:val="left"/>
              <w:rPr>
                <w:rFonts w:hint="eastAsia" w:ascii="宋体" w:hAnsi="宋体" w:cs="宋体"/>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6A4997D5">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1060" w:type="dxa"/>
            <w:tcBorders>
              <w:top w:val="nil"/>
              <w:left w:val="nil"/>
              <w:bottom w:val="single" w:color="auto" w:sz="4" w:space="0"/>
              <w:right w:val="single" w:color="auto" w:sz="4" w:space="0"/>
            </w:tcBorders>
            <w:shd w:val="clear" w:color="auto" w:fill="auto"/>
            <w:vAlign w:val="center"/>
          </w:tcPr>
          <w:p w14:paraId="2452A384">
            <w:pPr>
              <w:widowControl/>
              <w:jc w:val="center"/>
              <w:rPr>
                <w:rFonts w:hint="eastAsia" w:ascii="宋体" w:hAnsi="宋体" w:cs="宋体"/>
                <w:kern w:val="0"/>
                <w:sz w:val="20"/>
                <w:szCs w:val="20"/>
              </w:rPr>
            </w:pPr>
            <w:r>
              <w:rPr>
                <w:rFonts w:hint="eastAsia" w:ascii="宋体" w:hAnsi="宋体" w:cs="宋体"/>
                <w:kern w:val="0"/>
                <w:sz w:val="20"/>
                <w:szCs w:val="20"/>
              </w:rPr>
              <w:t>373.36</w:t>
            </w:r>
          </w:p>
        </w:tc>
        <w:tc>
          <w:tcPr>
            <w:tcW w:w="1054" w:type="dxa"/>
            <w:tcBorders>
              <w:top w:val="nil"/>
              <w:left w:val="nil"/>
              <w:bottom w:val="single" w:color="auto" w:sz="4" w:space="0"/>
              <w:right w:val="single" w:color="auto" w:sz="4" w:space="0"/>
            </w:tcBorders>
            <w:shd w:val="clear" w:color="auto" w:fill="auto"/>
            <w:vAlign w:val="center"/>
          </w:tcPr>
          <w:p w14:paraId="1157D054">
            <w:pPr>
              <w:widowControl/>
              <w:jc w:val="center"/>
              <w:rPr>
                <w:rFonts w:hint="eastAsia" w:ascii="宋体" w:hAnsi="宋体" w:cs="宋体"/>
                <w:kern w:val="0"/>
                <w:sz w:val="20"/>
                <w:szCs w:val="20"/>
              </w:rPr>
            </w:pPr>
            <w:r>
              <w:rPr>
                <w:rFonts w:hint="eastAsia" w:ascii="宋体" w:hAnsi="宋体" w:cs="宋体"/>
                <w:kern w:val="0"/>
                <w:sz w:val="20"/>
                <w:szCs w:val="20"/>
              </w:rPr>
              <w:t>501.65</w:t>
            </w:r>
          </w:p>
        </w:tc>
        <w:tc>
          <w:tcPr>
            <w:tcW w:w="1231" w:type="dxa"/>
            <w:tcBorders>
              <w:top w:val="nil"/>
              <w:left w:val="nil"/>
              <w:bottom w:val="single" w:color="auto" w:sz="4" w:space="0"/>
              <w:right w:val="single" w:color="auto" w:sz="4" w:space="0"/>
            </w:tcBorders>
            <w:shd w:val="clear" w:color="auto" w:fill="auto"/>
            <w:vAlign w:val="center"/>
          </w:tcPr>
          <w:p w14:paraId="70DFE407">
            <w:pPr>
              <w:widowControl/>
              <w:jc w:val="center"/>
              <w:rPr>
                <w:rFonts w:hint="eastAsia" w:ascii="宋体" w:hAnsi="宋体" w:cs="宋体"/>
                <w:kern w:val="0"/>
                <w:sz w:val="20"/>
                <w:szCs w:val="20"/>
              </w:rPr>
            </w:pPr>
            <w:r>
              <w:rPr>
                <w:rFonts w:hint="eastAsia" w:ascii="宋体" w:hAnsi="宋体" w:cs="宋体"/>
                <w:kern w:val="0"/>
                <w:sz w:val="20"/>
                <w:szCs w:val="20"/>
              </w:rPr>
              <w:t>501.61</w:t>
            </w:r>
          </w:p>
        </w:tc>
        <w:tc>
          <w:tcPr>
            <w:tcW w:w="887" w:type="dxa"/>
            <w:tcBorders>
              <w:top w:val="nil"/>
              <w:left w:val="nil"/>
              <w:bottom w:val="single" w:color="auto" w:sz="4" w:space="0"/>
              <w:right w:val="single" w:color="auto" w:sz="4" w:space="0"/>
            </w:tcBorders>
            <w:shd w:val="clear" w:color="auto" w:fill="auto"/>
            <w:vAlign w:val="center"/>
          </w:tcPr>
          <w:p w14:paraId="583BE59D">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4" w:type="dxa"/>
            <w:tcBorders>
              <w:top w:val="nil"/>
              <w:left w:val="nil"/>
              <w:bottom w:val="single" w:color="auto" w:sz="4" w:space="0"/>
              <w:right w:val="single" w:color="auto" w:sz="4" w:space="0"/>
            </w:tcBorders>
            <w:shd w:val="clear" w:color="auto" w:fill="auto"/>
            <w:vAlign w:val="center"/>
          </w:tcPr>
          <w:p w14:paraId="0CE4A8A8">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14:paraId="3B26E8BB">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16AF7614">
        <w:tblPrEx>
          <w:tblCellMar>
            <w:top w:w="0" w:type="dxa"/>
            <w:left w:w="108" w:type="dxa"/>
            <w:bottom w:w="0" w:type="dxa"/>
            <w:right w:w="108" w:type="dxa"/>
          </w:tblCellMar>
        </w:tblPrEx>
        <w:trPr>
          <w:trHeight w:val="705"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DA529E">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3129" w:type="dxa"/>
            <w:gridSpan w:val="3"/>
            <w:tcBorders>
              <w:top w:val="single" w:color="auto" w:sz="4" w:space="0"/>
              <w:left w:val="nil"/>
              <w:bottom w:val="single" w:color="auto" w:sz="4" w:space="0"/>
              <w:right w:val="single" w:color="auto" w:sz="4" w:space="0"/>
            </w:tcBorders>
            <w:shd w:val="clear" w:color="auto" w:fill="auto"/>
            <w:noWrap/>
            <w:vAlign w:val="center"/>
          </w:tcPr>
          <w:p w14:paraId="28A046C0">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3578" w:type="dxa"/>
            <w:gridSpan w:val="4"/>
            <w:tcBorders>
              <w:top w:val="single" w:color="auto" w:sz="4" w:space="0"/>
              <w:left w:val="nil"/>
              <w:bottom w:val="single" w:color="auto" w:sz="4" w:space="0"/>
              <w:right w:val="single" w:color="auto" w:sz="4" w:space="0"/>
            </w:tcBorders>
            <w:shd w:val="clear" w:color="auto" w:fill="auto"/>
            <w:noWrap/>
            <w:vAlign w:val="center"/>
          </w:tcPr>
          <w:p w14:paraId="27C6F4F0">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66D47194">
        <w:tblPrEx>
          <w:tblCellMar>
            <w:top w:w="0" w:type="dxa"/>
            <w:left w:w="108" w:type="dxa"/>
            <w:bottom w:w="0" w:type="dxa"/>
            <w:right w:w="108" w:type="dxa"/>
          </w:tblCellMar>
        </w:tblPrEx>
        <w:trPr>
          <w:trHeight w:val="200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4519D67">
            <w:pPr>
              <w:widowControl/>
              <w:jc w:val="left"/>
              <w:rPr>
                <w:rFonts w:hint="eastAsia" w:ascii="宋体" w:hAnsi="宋体" w:cs="宋体"/>
                <w:kern w:val="0"/>
                <w:sz w:val="20"/>
                <w:szCs w:val="20"/>
              </w:rPr>
            </w:pPr>
          </w:p>
        </w:tc>
        <w:tc>
          <w:tcPr>
            <w:tcW w:w="3129" w:type="dxa"/>
            <w:gridSpan w:val="3"/>
            <w:tcBorders>
              <w:top w:val="single" w:color="auto" w:sz="4" w:space="0"/>
              <w:left w:val="nil"/>
              <w:bottom w:val="single" w:color="auto" w:sz="4" w:space="0"/>
              <w:right w:val="single" w:color="auto" w:sz="4" w:space="0"/>
            </w:tcBorders>
            <w:shd w:val="clear" w:color="auto" w:fill="auto"/>
            <w:vAlign w:val="center"/>
          </w:tcPr>
          <w:p w14:paraId="2A1064D7">
            <w:pPr>
              <w:widowControl/>
              <w:jc w:val="center"/>
              <w:rPr>
                <w:rFonts w:hint="eastAsia" w:ascii="宋体" w:hAnsi="宋体" w:cs="宋体"/>
                <w:kern w:val="0"/>
                <w:sz w:val="20"/>
                <w:szCs w:val="20"/>
              </w:rPr>
            </w:pPr>
            <w:r>
              <w:rPr>
                <w:rFonts w:hint="eastAsia" w:ascii="宋体" w:hAnsi="宋体" w:cs="宋体"/>
                <w:kern w:val="0"/>
                <w:sz w:val="20"/>
                <w:szCs w:val="20"/>
              </w:rPr>
              <w:t>完成全州双语班、全县国语班、党校主体</w:t>
            </w:r>
            <w:r>
              <w:rPr>
                <w:rFonts w:hint="eastAsia" w:ascii="宋体" w:hAnsi="宋体" w:cs="宋体"/>
                <w:kern w:val="0"/>
                <w:sz w:val="20"/>
                <w:szCs w:val="20"/>
                <w:lang w:eastAsia="zh-CN"/>
              </w:rPr>
              <w:t>班</w:t>
            </w:r>
            <w:r>
              <w:rPr>
                <w:rFonts w:hint="eastAsia" w:ascii="宋体" w:hAnsi="宋体" w:cs="宋体"/>
                <w:kern w:val="0"/>
                <w:sz w:val="20"/>
                <w:szCs w:val="20"/>
              </w:rPr>
              <w:t>及各类培训班的组织和举办；完成单位有关培训后勤工作等；改善办学条件，提升教学水平，增强学员党性意识。</w:t>
            </w:r>
          </w:p>
        </w:tc>
        <w:tc>
          <w:tcPr>
            <w:tcW w:w="3578" w:type="dxa"/>
            <w:gridSpan w:val="4"/>
            <w:tcBorders>
              <w:top w:val="single" w:color="auto" w:sz="4" w:space="0"/>
              <w:left w:val="nil"/>
              <w:bottom w:val="single" w:color="auto" w:sz="4" w:space="0"/>
              <w:right w:val="single" w:color="auto" w:sz="4" w:space="0"/>
            </w:tcBorders>
            <w:shd w:val="clear" w:color="auto" w:fill="auto"/>
            <w:vAlign w:val="center"/>
          </w:tcPr>
          <w:p w14:paraId="51F95F93">
            <w:pPr>
              <w:widowControl/>
              <w:jc w:val="center"/>
              <w:rPr>
                <w:rFonts w:hint="eastAsia" w:ascii="宋体" w:hAnsi="宋体" w:cs="宋体"/>
                <w:kern w:val="0"/>
                <w:sz w:val="20"/>
                <w:szCs w:val="20"/>
              </w:rPr>
            </w:pPr>
            <w:r>
              <w:rPr>
                <w:rFonts w:hint="eastAsia" w:ascii="宋体" w:hAnsi="宋体" w:cs="宋体"/>
                <w:kern w:val="0"/>
                <w:sz w:val="20"/>
                <w:szCs w:val="20"/>
                <w:lang w:eastAsia="zh-CN"/>
              </w:rPr>
              <w:t>截至</w:t>
            </w:r>
            <w:r>
              <w:rPr>
                <w:rFonts w:hint="eastAsia" w:ascii="宋体" w:hAnsi="宋体" w:cs="宋体"/>
                <w:kern w:val="0"/>
                <w:sz w:val="20"/>
                <w:szCs w:val="20"/>
              </w:rPr>
              <w:t>本单位自评节点，已完成如下工作：保障办公人员数量18人，培训按时完成率95%，培训天数60天，各类培训期数20期。完成全州双语班，全县国语班、党校主体</w:t>
            </w:r>
            <w:r>
              <w:rPr>
                <w:rFonts w:hint="eastAsia" w:ascii="宋体" w:hAnsi="宋体" w:cs="宋体"/>
                <w:kern w:val="0"/>
                <w:sz w:val="20"/>
                <w:szCs w:val="20"/>
                <w:lang w:eastAsia="zh-CN"/>
              </w:rPr>
              <w:t>班</w:t>
            </w:r>
            <w:r>
              <w:rPr>
                <w:rFonts w:hint="eastAsia" w:ascii="宋体" w:hAnsi="宋体" w:cs="宋体"/>
                <w:kern w:val="0"/>
                <w:sz w:val="20"/>
                <w:szCs w:val="20"/>
              </w:rPr>
              <w:t>及各类培训班的组织和举办，完成单位有关培训后勤工作，改善了办学条件，提升教学水平，增强学员党性意识。</w:t>
            </w:r>
          </w:p>
        </w:tc>
      </w:tr>
      <w:tr w14:paraId="346B03BA">
        <w:tblPrEx>
          <w:tblCellMar>
            <w:top w:w="0" w:type="dxa"/>
            <w:left w:w="108" w:type="dxa"/>
            <w:bottom w:w="0" w:type="dxa"/>
            <w:right w:w="108" w:type="dxa"/>
          </w:tblCellMar>
        </w:tblPrEx>
        <w:trPr>
          <w:trHeight w:val="58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F16192C">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0" w:type="auto"/>
            <w:tcBorders>
              <w:top w:val="nil"/>
              <w:left w:val="nil"/>
              <w:bottom w:val="single" w:color="auto" w:sz="4" w:space="0"/>
              <w:right w:val="single" w:color="auto" w:sz="4" w:space="0"/>
            </w:tcBorders>
            <w:shd w:val="clear" w:color="auto" w:fill="auto"/>
            <w:vAlign w:val="center"/>
          </w:tcPr>
          <w:p w14:paraId="0DD0A818">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060" w:type="dxa"/>
            <w:tcBorders>
              <w:top w:val="nil"/>
              <w:left w:val="nil"/>
              <w:bottom w:val="single" w:color="auto" w:sz="4" w:space="0"/>
              <w:right w:val="single" w:color="auto" w:sz="4" w:space="0"/>
            </w:tcBorders>
            <w:shd w:val="clear" w:color="auto" w:fill="auto"/>
            <w:vAlign w:val="center"/>
          </w:tcPr>
          <w:p w14:paraId="18CD64FB">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1054" w:type="dxa"/>
            <w:tcBorders>
              <w:top w:val="nil"/>
              <w:left w:val="nil"/>
              <w:bottom w:val="single" w:color="auto" w:sz="4" w:space="0"/>
              <w:right w:val="single" w:color="auto" w:sz="4" w:space="0"/>
            </w:tcBorders>
            <w:shd w:val="clear" w:color="auto" w:fill="auto"/>
            <w:vAlign w:val="center"/>
          </w:tcPr>
          <w:p w14:paraId="1AA7B6DF">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1231" w:type="dxa"/>
            <w:tcBorders>
              <w:top w:val="nil"/>
              <w:left w:val="nil"/>
              <w:bottom w:val="single" w:color="auto" w:sz="4" w:space="0"/>
              <w:right w:val="single" w:color="auto" w:sz="4" w:space="0"/>
            </w:tcBorders>
            <w:shd w:val="clear" w:color="auto" w:fill="auto"/>
            <w:vAlign w:val="center"/>
          </w:tcPr>
          <w:p w14:paraId="2F1F39A4">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887" w:type="dxa"/>
            <w:tcBorders>
              <w:top w:val="nil"/>
              <w:left w:val="nil"/>
              <w:bottom w:val="single" w:color="auto" w:sz="4" w:space="0"/>
              <w:right w:val="single" w:color="auto" w:sz="4" w:space="0"/>
            </w:tcBorders>
            <w:shd w:val="clear" w:color="auto" w:fill="auto"/>
            <w:vAlign w:val="center"/>
          </w:tcPr>
          <w:p w14:paraId="5BF31DFF">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844" w:type="dxa"/>
            <w:tcBorders>
              <w:top w:val="nil"/>
              <w:left w:val="nil"/>
              <w:bottom w:val="single" w:color="auto" w:sz="4" w:space="0"/>
              <w:right w:val="single" w:color="auto" w:sz="4" w:space="0"/>
            </w:tcBorders>
            <w:shd w:val="clear" w:color="auto" w:fill="auto"/>
            <w:vAlign w:val="center"/>
          </w:tcPr>
          <w:p w14:paraId="18D29C2D">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616" w:type="dxa"/>
            <w:tcBorders>
              <w:top w:val="nil"/>
              <w:left w:val="nil"/>
              <w:bottom w:val="single" w:color="auto" w:sz="4" w:space="0"/>
              <w:right w:val="single" w:color="auto" w:sz="4" w:space="0"/>
            </w:tcBorders>
            <w:shd w:val="clear" w:color="auto" w:fill="auto"/>
            <w:vAlign w:val="center"/>
          </w:tcPr>
          <w:p w14:paraId="62BE2A56">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0A6D8CCB">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87AD249">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0" w:type="auto"/>
            <w:tcBorders>
              <w:top w:val="nil"/>
              <w:left w:val="nil"/>
              <w:bottom w:val="single" w:color="auto" w:sz="4" w:space="0"/>
              <w:right w:val="single" w:color="auto" w:sz="4" w:space="0"/>
            </w:tcBorders>
            <w:shd w:val="clear" w:color="auto" w:fill="auto"/>
            <w:vAlign w:val="center"/>
          </w:tcPr>
          <w:p w14:paraId="6AE1FA95">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060" w:type="dxa"/>
            <w:tcBorders>
              <w:top w:val="nil"/>
              <w:left w:val="nil"/>
              <w:bottom w:val="single" w:color="auto" w:sz="4" w:space="0"/>
              <w:right w:val="single" w:color="auto" w:sz="4" w:space="0"/>
            </w:tcBorders>
            <w:shd w:val="clear" w:color="auto" w:fill="auto"/>
            <w:vAlign w:val="center"/>
          </w:tcPr>
          <w:p w14:paraId="7A570B94">
            <w:pPr>
              <w:widowControl/>
              <w:jc w:val="center"/>
              <w:rPr>
                <w:rFonts w:hint="eastAsia" w:ascii="宋体" w:hAnsi="宋体" w:cs="宋体"/>
                <w:kern w:val="0"/>
                <w:sz w:val="20"/>
                <w:szCs w:val="20"/>
              </w:rPr>
            </w:pPr>
            <w:r>
              <w:rPr>
                <w:rFonts w:hint="eastAsia" w:ascii="宋体" w:hAnsi="宋体" w:cs="宋体"/>
                <w:kern w:val="0"/>
                <w:sz w:val="20"/>
                <w:szCs w:val="20"/>
              </w:rPr>
              <w:t>保障办公人员数量</w:t>
            </w:r>
          </w:p>
        </w:tc>
        <w:tc>
          <w:tcPr>
            <w:tcW w:w="1054" w:type="dxa"/>
            <w:tcBorders>
              <w:top w:val="nil"/>
              <w:left w:val="nil"/>
              <w:bottom w:val="single" w:color="auto" w:sz="4" w:space="0"/>
              <w:right w:val="single" w:color="auto" w:sz="4" w:space="0"/>
            </w:tcBorders>
            <w:shd w:val="clear" w:color="auto" w:fill="auto"/>
            <w:vAlign w:val="center"/>
          </w:tcPr>
          <w:p w14:paraId="78642ADE">
            <w:pPr>
              <w:widowControl/>
              <w:jc w:val="center"/>
              <w:rPr>
                <w:rFonts w:hint="eastAsia" w:ascii="宋体" w:hAnsi="宋体" w:cs="宋体"/>
                <w:kern w:val="0"/>
                <w:sz w:val="20"/>
                <w:szCs w:val="20"/>
              </w:rPr>
            </w:pPr>
            <w:r>
              <w:rPr>
                <w:rFonts w:hint="eastAsia" w:ascii="宋体" w:hAnsi="宋体" w:cs="宋体"/>
                <w:kern w:val="0"/>
                <w:sz w:val="20"/>
                <w:szCs w:val="20"/>
              </w:rPr>
              <w:t>&gt;=18人</w:t>
            </w:r>
          </w:p>
        </w:tc>
        <w:tc>
          <w:tcPr>
            <w:tcW w:w="1231" w:type="dxa"/>
            <w:tcBorders>
              <w:top w:val="nil"/>
              <w:left w:val="nil"/>
              <w:bottom w:val="single" w:color="auto" w:sz="4" w:space="0"/>
              <w:right w:val="single" w:color="auto" w:sz="4" w:space="0"/>
            </w:tcBorders>
            <w:shd w:val="clear" w:color="auto" w:fill="auto"/>
            <w:vAlign w:val="center"/>
          </w:tcPr>
          <w:p w14:paraId="35CD7B76">
            <w:pPr>
              <w:widowControl/>
              <w:jc w:val="center"/>
              <w:rPr>
                <w:rFonts w:hint="eastAsia" w:ascii="宋体" w:hAnsi="宋体" w:cs="宋体"/>
                <w:kern w:val="0"/>
                <w:sz w:val="20"/>
                <w:szCs w:val="20"/>
              </w:rPr>
            </w:pPr>
            <w:r>
              <w:rPr>
                <w:rFonts w:hint="eastAsia" w:ascii="宋体" w:hAnsi="宋体" w:cs="宋体"/>
                <w:kern w:val="0"/>
                <w:sz w:val="20"/>
                <w:szCs w:val="20"/>
              </w:rPr>
              <w:t>木垒县人民政府办公室关于印发《中共木垒哈萨克自治县委员会党校职能配置、内设机构和</w:t>
            </w:r>
            <w:r>
              <w:rPr>
                <w:rFonts w:hint="eastAsia" w:ascii="宋体" w:hAnsi="宋体" w:cs="宋体"/>
                <w:kern w:val="0"/>
                <w:sz w:val="20"/>
                <w:szCs w:val="20"/>
                <w:lang w:eastAsia="zh-CN"/>
              </w:rPr>
              <w:t>人员编制</w:t>
            </w:r>
            <w:r>
              <w:rPr>
                <w:rFonts w:hint="eastAsia" w:ascii="宋体" w:hAnsi="宋体" w:cs="宋体"/>
                <w:kern w:val="0"/>
                <w:sz w:val="20"/>
                <w:szCs w:val="20"/>
              </w:rPr>
              <w:t>规定》的通知</w:t>
            </w:r>
          </w:p>
        </w:tc>
        <w:tc>
          <w:tcPr>
            <w:tcW w:w="887" w:type="dxa"/>
            <w:tcBorders>
              <w:top w:val="nil"/>
              <w:left w:val="nil"/>
              <w:bottom w:val="single" w:color="auto" w:sz="4" w:space="0"/>
              <w:right w:val="single" w:color="auto" w:sz="4" w:space="0"/>
            </w:tcBorders>
            <w:shd w:val="clear" w:color="auto" w:fill="auto"/>
            <w:vAlign w:val="center"/>
          </w:tcPr>
          <w:p w14:paraId="27063E9A">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844" w:type="dxa"/>
            <w:tcBorders>
              <w:top w:val="nil"/>
              <w:left w:val="nil"/>
              <w:bottom w:val="single" w:color="auto" w:sz="4" w:space="0"/>
              <w:right w:val="single" w:color="auto" w:sz="4" w:space="0"/>
            </w:tcBorders>
            <w:shd w:val="clear" w:color="auto" w:fill="auto"/>
            <w:vAlign w:val="center"/>
          </w:tcPr>
          <w:p w14:paraId="359C6087">
            <w:pPr>
              <w:widowControl/>
              <w:jc w:val="center"/>
              <w:rPr>
                <w:rFonts w:hint="eastAsia" w:ascii="宋体" w:hAnsi="宋体" w:cs="宋体"/>
                <w:kern w:val="0"/>
                <w:sz w:val="20"/>
                <w:szCs w:val="20"/>
              </w:rPr>
            </w:pPr>
            <w:r>
              <w:rPr>
                <w:rFonts w:hint="eastAsia" w:ascii="宋体" w:hAnsi="宋体" w:cs="宋体"/>
                <w:kern w:val="0"/>
                <w:sz w:val="20"/>
                <w:szCs w:val="20"/>
              </w:rPr>
              <w:t>18人</w:t>
            </w:r>
          </w:p>
        </w:tc>
        <w:tc>
          <w:tcPr>
            <w:tcW w:w="616" w:type="dxa"/>
            <w:tcBorders>
              <w:top w:val="nil"/>
              <w:left w:val="nil"/>
              <w:bottom w:val="single" w:color="auto" w:sz="4" w:space="0"/>
              <w:right w:val="single" w:color="auto" w:sz="4" w:space="0"/>
            </w:tcBorders>
            <w:shd w:val="clear" w:color="auto" w:fill="auto"/>
            <w:vAlign w:val="center"/>
          </w:tcPr>
          <w:p w14:paraId="4B2FF8EE">
            <w:pPr>
              <w:widowControl/>
              <w:jc w:val="center"/>
              <w:rPr>
                <w:rFonts w:hint="eastAsia" w:ascii="宋体" w:hAnsi="宋体" w:cs="宋体"/>
                <w:kern w:val="0"/>
                <w:sz w:val="20"/>
                <w:szCs w:val="20"/>
              </w:rPr>
            </w:pPr>
            <w:r>
              <w:rPr>
                <w:rFonts w:hint="eastAsia" w:ascii="宋体" w:hAnsi="宋体" w:cs="宋体"/>
                <w:kern w:val="0"/>
                <w:sz w:val="20"/>
                <w:szCs w:val="20"/>
              </w:rPr>
              <w:t>8</w:t>
            </w:r>
          </w:p>
        </w:tc>
      </w:tr>
      <w:tr w14:paraId="71C607DC">
        <w:tblPrEx>
          <w:tblCellMar>
            <w:top w:w="0" w:type="dxa"/>
            <w:left w:w="108" w:type="dxa"/>
            <w:bottom w:w="0" w:type="dxa"/>
            <w:right w:w="108" w:type="dxa"/>
          </w:tblCellMar>
        </w:tblPrEx>
        <w:trPr>
          <w:trHeight w:val="74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BF026B">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65CC7EF6">
            <w:pPr>
              <w:widowControl/>
              <w:jc w:val="center"/>
              <w:rPr>
                <w:rFonts w:hint="eastAsia" w:ascii="宋体" w:hAnsi="宋体" w:cs="宋体"/>
                <w:kern w:val="0"/>
                <w:sz w:val="20"/>
                <w:szCs w:val="20"/>
              </w:rPr>
            </w:pPr>
            <w:r>
              <w:rPr>
                <w:rFonts w:hint="eastAsia" w:ascii="宋体" w:hAnsi="宋体" w:cs="宋体"/>
                <w:kern w:val="0"/>
                <w:sz w:val="20"/>
                <w:szCs w:val="20"/>
              </w:rPr>
              <w:t>时效指标</w:t>
            </w:r>
          </w:p>
        </w:tc>
        <w:tc>
          <w:tcPr>
            <w:tcW w:w="1060" w:type="dxa"/>
            <w:tcBorders>
              <w:top w:val="nil"/>
              <w:left w:val="nil"/>
              <w:bottom w:val="single" w:color="auto" w:sz="4" w:space="0"/>
              <w:right w:val="single" w:color="auto" w:sz="4" w:space="0"/>
            </w:tcBorders>
            <w:shd w:val="clear" w:color="auto" w:fill="auto"/>
            <w:vAlign w:val="center"/>
          </w:tcPr>
          <w:p w14:paraId="712F9721">
            <w:pPr>
              <w:widowControl/>
              <w:jc w:val="center"/>
              <w:rPr>
                <w:rFonts w:hint="eastAsia" w:ascii="宋体" w:hAnsi="宋体" w:cs="宋体"/>
                <w:kern w:val="0"/>
                <w:sz w:val="20"/>
                <w:szCs w:val="20"/>
              </w:rPr>
            </w:pPr>
            <w:r>
              <w:rPr>
                <w:rFonts w:hint="eastAsia" w:ascii="宋体" w:hAnsi="宋体" w:cs="宋体"/>
                <w:kern w:val="0"/>
                <w:sz w:val="20"/>
                <w:szCs w:val="20"/>
              </w:rPr>
              <w:t>培训按时完成率</w:t>
            </w:r>
          </w:p>
        </w:tc>
        <w:tc>
          <w:tcPr>
            <w:tcW w:w="1054" w:type="dxa"/>
            <w:tcBorders>
              <w:top w:val="nil"/>
              <w:left w:val="nil"/>
              <w:bottom w:val="single" w:color="auto" w:sz="4" w:space="0"/>
              <w:right w:val="single" w:color="auto" w:sz="4" w:space="0"/>
            </w:tcBorders>
            <w:shd w:val="clear" w:color="auto" w:fill="auto"/>
            <w:vAlign w:val="center"/>
          </w:tcPr>
          <w:p w14:paraId="49C5BF2E">
            <w:pPr>
              <w:widowControl/>
              <w:jc w:val="center"/>
              <w:rPr>
                <w:rFonts w:hint="eastAsia" w:ascii="宋体" w:hAnsi="宋体" w:cs="宋体"/>
                <w:kern w:val="0"/>
                <w:sz w:val="20"/>
                <w:szCs w:val="20"/>
              </w:rPr>
            </w:pPr>
            <w:r>
              <w:rPr>
                <w:rFonts w:hint="eastAsia" w:ascii="宋体" w:hAnsi="宋体" w:cs="宋体"/>
                <w:kern w:val="0"/>
                <w:sz w:val="20"/>
                <w:szCs w:val="20"/>
              </w:rPr>
              <w:t>&gt;=95%</w:t>
            </w:r>
          </w:p>
        </w:tc>
        <w:tc>
          <w:tcPr>
            <w:tcW w:w="1231" w:type="dxa"/>
            <w:tcBorders>
              <w:top w:val="nil"/>
              <w:left w:val="nil"/>
              <w:bottom w:val="single" w:color="auto" w:sz="4" w:space="0"/>
              <w:right w:val="single" w:color="auto" w:sz="4" w:space="0"/>
            </w:tcBorders>
            <w:shd w:val="clear" w:color="auto" w:fill="auto"/>
            <w:vAlign w:val="center"/>
          </w:tcPr>
          <w:p w14:paraId="42441AA8">
            <w:pPr>
              <w:widowControl/>
              <w:jc w:val="center"/>
              <w:rPr>
                <w:rFonts w:hint="eastAsia" w:ascii="宋体" w:hAnsi="宋体" w:cs="宋体"/>
                <w:kern w:val="0"/>
                <w:sz w:val="20"/>
                <w:szCs w:val="20"/>
              </w:rPr>
            </w:pPr>
            <w:r>
              <w:rPr>
                <w:rFonts w:hint="eastAsia" w:ascii="宋体" w:hAnsi="宋体" w:cs="宋体"/>
                <w:kern w:val="0"/>
                <w:sz w:val="20"/>
                <w:szCs w:val="20"/>
              </w:rPr>
              <w:t>中共木垒哈萨克自治县委员会党校2023年工作计划</w:t>
            </w:r>
          </w:p>
        </w:tc>
        <w:tc>
          <w:tcPr>
            <w:tcW w:w="887" w:type="dxa"/>
            <w:tcBorders>
              <w:top w:val="nil"/>
              <w:left w:val="nil"/>
              <w:bottom w:val="single" w:color="auto" w:sz="4" w:space="0"/>
              <w:right w:val="single" w:color="auto" w:sz="4" w:space="0"/>
            </w:tcBorders>
            <w:shd w:val="clear" w:color="auto" w:fill="auto"/>
            <w:vAlign w:val="center"/>
          </w:tcPr>
          <w:p w14:paraId="49BF7BCB">
            <w:pPr>
              <w:widowControl/>
              <w:jc w:val="center"/>
              <w:rPr>
                <w:rFonts w:hint="eastAsia" w:ascii="宋体" w:hAnsi="宋体" w:cs="宋体"/>
                <w:kern w:val="0"/>
                <w:sz w:val="20"/>
                <w:szCs w:val="20"/>
              </w:rPr>
            </w:pPr>
            <w:r>
              <w:rPr>
                <w:rFonts w:hint="eastAsia" w:ascii="宋体" w:hAnsi="宋体" w:cs="宋体"/>
                <w:kern w:val="0"/>
                <w:sz w:val="20"/>
                <w:szCs w:val="20"/>
              </w:rPr>
              <w:t>6</w:t>
            </w:r>
          </w:p>
        </w:tc>
        <w:tc>
          <w:tcPr>
            <w:tcW w:w="844" w:type="dxa"/>
            <w:tcBorders>
              <w:top w:val="nil"/>
              <w:left w:val="nil"/>
              <w:bottom w:val="single" w:color="auto" w:sz="4" w:space="0"/>
              <w:right w:val="single" w:color="auto" w:sz="4" w:space="0"/>
            </w:tcBorders>
            <w:shd w:val="clear" w:color="auto" w:fill="auto"/>
            <w:vAlign w:val="center"/>
          </w:tcPr>
          <w:p w14:paraId="51FCEFA4">
            <w:pPr>
              <w:widowControl/>
              <w:jc w:val="center"/>
              <w:rPr>
                <w:rFonts w:hint="eastAsia" w:ascii="宋体" w:hAnsi="宋体" w:cs="宋体"/>
                <w:kern w:val="0"/>
                <w:sz w:val="20"/>
                <w:szCs w:val="20"/>
              </w:rPr>
            </w:pPr>
            <w:r>
              <w:rPr>
                <w:rFonts w:hint="eastAsia" w:ascii="宋体" w:hAnsi="宋体" w:cs="宋体"/>
                <w:kern w:val="0"/>
                <w:sz w:val="20"/>
                <w:szCs w:val="20"/>
              </w:rPr>
              <w:t>95%</w:t>
            </w:r>
          </w:p>
        </w:tc>
        <w:tc>
          <w:tcPr>
            <w:tcW w:w="616" w:type="dxa"/>
            <w:tcBorders>
              <w:top w:val="nil"/>
              <w:left w:val="nil"/>
              <w:bottom w:val="single" w:color="auto" w:sz="4" w:space="0"/>
              <w:right w:val="single" w:color="auto" w:sz="4" w:space="0"/>
            </w:tcBorders>
            <w:shd w:val="clear" w:color="auto" w:fill="auto"/>
            <w:vAlign w:val="center"/>
          </w:tcPr>
          <w:p w14:paraId="6F8238B2">
            <w:pPr>
              <w:widowControl/>
              <w:jc w:val="center"/>
              <w:rPr>
                <w:rFonts w:hint="eastAsia" w:ascii="宋体" w:hAnsi="宋体" w:cs="宋体"/>
                <w:kern w:val="0"/>
                <w:sz w:val="20"/>
                <w:szCs w:val="20"/>
              </w:rPr>
            </w:pPr>
            <w:r>
              <w:rPr>
                <w:rFonts w:hint="eastAsia" w:ascii="宋体" w:hAnsi="宋体" w:cs="宋体"/>
                <w:kern w:val="0"/>
                <w:sz w:val="20"/>
                <w:szCs w:val="20"/>
              </w:rPr>
              <w:t>6</w:t>
            </w:r>
          </w:p>
        </w:tc>
      </w:tr>
      <w:tr w14:paraId="16810AD0">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5288539">
            <w:pPr>
              <w:widowControl/>
              <w:jc w:val="left"/>
              <w:rPr>
                <w:rFonts w:hint="eastAsia" w:ascii="宋体" w:hAnsi="宋体" w:cs="宋体"/>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0E8BB0C1">
            <w:pPr>
              <w:widowControl/>
              <w:jc w:val="left"/>
              <w:rPr>
                <w:rFonts w:hint="eastAsia" w:ascii="宋体" w:hAnsi="宋体" w:cs="宋体"/>
                <w:kern w:val="0"/>
                <w:sz w:val="20"/>
                <w:szCs w:val="20"/>
              </w:rPr>
            </w:pPr>
          </w:p>
        </w:tc>
        <w:tc>
          <w:tcPr>
            <w:tcW w:w="1060" w:type="dxa"/>
            <w:tcBorders>
              <w:top w:val="nil"/>
              <w:left w:val="nil"/>
              <w:bottom w:val="single" w:color="auto" w:sz="4" w:space="0"/>
              <w:right w:val="single" w:color="auto" w:sz="4" w:space="0"/>
            </w:tcBorders>
            <w:shd w:val="clear" w:color="auto" w:fill="auto"/>
            <w:vAlign w:val="center"/>
          </w:tcPr>
          <w:p w14:paraId="200895CF">
            <w:pPr>
              <w:widowControl/>
              <w:jc w:val="center"/>
              <w:rPr>
                <w:rFonts w:hint="eastAsia" w:ascii="宋体" w:hAnsi="宋体" w:cs="宋体"/>
                <w:kern w:val="0"/>
                <w:sz w:val="20"/>
                <w:szCs w:val="20"/>
              </w:rPr>
            </w:pPr>
            <w:r>
              <w:rPr>
                <w:rFonts w:hint="eastAsia" w:ascii="宋体" w:hAnsi="宋体" w:cs="宋体"/>
                <w:kern w:val="0"/>
                <w:sz w:val="20"/>
                <w:szCs w:val="20"/>
              </w:rPr>
              <w:t>培训天数</w:t>
            </w:r>
          </w:p>
        </w:tc>
        <w:tc>
          <w:tcPr>
            <w:tcW w:w="1054" w:type="dxa"/>
            <w:tcBorders>
              <w:top w:val="nil"/>
              <w:left w:val="nil"/>
              <w:bottom w:val="single" w:color="auto" w:sz="4" w:space="0"/>
              <w:right w:val="single" w:color="auto" w:sz="4" w:space="0"/>
            </w:tcBorders>
            <w:shd w:val="clear" w:color="auto" w:fill="auto"/>
            <w:vAlign w:val="center"/>
          </w:tcPr>
          <w:p w14:paraId="0467FACC">
            <w:pPr>
              <w:widowControl/>
              <w:jc w:val="center"/>
              <w:rPr>
                <w:rFonts w:hint="eastAsia" w:ascii="宋体" w:hAnsi="宋体" w:cs="宋体"/>
                <w:kern w:val="0"/>
                <w:sz w:val="20"/>
                <w:szCs w:val="20"/>
              </w:rPr>
            </w:pPr>
            <w:r>
              <w:rPr>
                <w:rFonts w:hint="eastAsia" w:ascii="宋体" w:hAnsi="宋体" w:cs="宋体"/>
                <w:kern w:val="0"/>
                <w:sz w:val="20"/>
                <w:szCs w:val="20"/>
              </w:rPr>
              <w:t>&gt;=60天</w:t>
            </w:r>
          </w:p>
        </w:tc>
        <w:tc>
          <w:tcPr>
            <w:tcW w:w="1231" w:type="dxa"/>
            <w:tcBorders>
              <w:top w:val="nil"/>
              <w:left w:val="nil"/>
              <w:bottom w:val="single" w:color="auto" w:sz="4" w:space="0"/>
              <w:right w:val="single" w:color="auto" w:sz="4" w:space="0"/>
            </w:tcBorders>
            <w:shd w:val="clear" w:color="auto" w:fill="auto"/>
            <w:vAlign w:val="center"/>
          </w:tcPr>
          <w:p w14:paraId="240D1A5C">
            <w:pPr>
              <w:widowControl/>
              <w:jc w:val="center"/>
              <w:rPr>
                <w:rFonts w:hint="eastAsia" w:ascii="宋体" w:hAnsi="宋体" w:cs="宋体"/>
                <w:kern w:val="0"/>
                <w:sz w:val="20"/>
                <w:szCs w:val="20"/>
              </w:rPr>
            </w:pPr>
            <w:r>
              <w:rPr>
                <w:rFonts w:hint="eastAsia" w:ascii="宋体" w:hAnsi="宋体" w:cs="宋体"/>
                <w:kern w:val="0"/>
                <w:sz w:val="20"/>
                <w:szCs w:val="20"/>
              </w:rPr>
              <w:t>中共木垒哈萨克自治县委员会党校2023年工作计划</w:t>
            </w:r>
          </w:p>
        </w:tc>
        <w:tc>
          <w:tcPr>
            <w:tcW w:w="887" w:type="dxa"/>
            <w:tcBorders>
              <w:top w:val="nil"/>
              <w:left w:val="nil"/>
              <w:bottom w:val="single" w:color="auto" w:sz="4" w:space="0"/>
              <w:right w:val="single" w:color="auto" w:sz="4" w:space="0"/>
            </w:tcBorders>
            <w:shd w:val="clear" w:color="auto" w:fill="auto"/>
            <w:vAlign w:val="center"/>
          </w:tcPr>
          <w:p w14:paraId="25B90262">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844" w:type="dxa"/>
            <w:tcBorders>
              <w:top w:val="nil"/>
              <w:left w:val="nil"/>
              <w:bottom w:val="single" w:color="auto" w:sz="4" w:space="0"/>
              <w:right w:val="single" w:color="auto" w:sz="4" w:space="0"/>
            </w:tcBorders>
            <w:shd w:val="clear" w:color="auto" w:fill="auto"/>
            <w:vAlign w:val="center"/>
          </w:tcPr>
          <w:p w14:paraId="459D1D9A">
            <w:pPr>
              <w:widowControl/>
              <w:jc w:val="center"/>
              <w:rPr>
                <w:rFonts w:hint="eastAsia" w:ascii="宋体" w:hAnsi="宋体" w:cs="宋体"/>
                <w:kern w:val="0"/>
                <w:sz w:val="20"/>
                <w:szCs w:val="20"/>
              </w:rPr>
            </w:pPr>
            <w:r>
              <w:rPr>
                <w:rFonts w:hint="eastAsia" w:ascii="宋体" w:hAnsi="宋体" w:cs="宋体"/>
                <w:kern w:val="0"/>
                <w:sz w:val="20"/>
                <w:szCs w:val="20"/>
              </w:rPr>
              <w:t>60天</w:t>
            </w:r>
          </w:p>
        </w:tc>
        <w:tc>
          <w:tcPr>
            <w:tcW w:w="616" w:type="dxa"/>
            <w:tcBorders>
              <w:top w:val="nil"/>
              <w:left w:val="nil"/>
              <w:bottom w:val="single" w:color="auto" w:sz="4" w:space="0"/>
              <w:right w:val="single" w:color="auto" w:sz="4" w:space="0"/>
            </w:tcBorders>
            <w:shd w:val="clear" w:color="auto" w:fill="auto"/>
            <w:vAlign w:val="center"/>
          </w:tcPr>
          <w:p w14:paraId="37857908">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16AA9CA5">
        <w:tblPrEx>
          <w:tblCellMar>
            <w:top w:w="0" w:type="dxa"/>
            <w:left w:w="108" w:type="dxa"/>
            <w:bottom w:w="0" w:type="dxa"/>
            <w:right w:w="108" w:type="dxa"/>
          </w:tblCellMar>
        </w:tblPrEx>
        <w:trPr>
          <w:trHeight w:val="74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F889E68">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6731FB9B">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060" w:type="dxa"/>
            <w:tcBorders>
              <w:top w:val="nil"/>
              <w:left w:val="nil"/>
              <w:bottom w:val="single" w:color="auto" w:sz="4" w:space="0"/>
              <w:right w:val="single" w:color="auto" w:sz="4" w:space="0"/>
            </w:tcBorders>
            <w:shd w:val="clear" w:color="auto" w:fill="auto"/>
            <w:vAlign w:val="center"/>
          </w:tcPr>
          <w:p w14:paraId="038E6505">
            <w:pPr>
              <w:widowControl/>
              <w:jc w:val="center"/>
              <w:rPr>
                <w:rFonts w:hint="eastAsia" w:ascii="宋体" w:hAnsi="宋体" w:cs="宋体"/>
                <w:kern w:val="0"/>
                <w:sz w:val="20"/>
                <w:szCs w:val="20"/>
              </w:rPr>
            </w:pPr>
            <w:r>
              <w:rPr>
                <w:rFonts w:hint="eastAsia" w:ascii="宋体" w:hAnsi="宋体" w:cs="宋体"/>
                <w:kern w:val="0"/>
                <w:sz w:val="20"/>
                <w:szCs w:val="20"/>
              </w:rPr>
              <w:t>各类培训期数</w:t>
            </w:r>
          </w:p>
        </w:tc>
        <w:tc>
          <w:tcPr>
            <w:tcW w:w="1054" w:type="dxa"/>
            <w:tcBorders>
              <w:top w:val="nil"/>
              <w:left w:val="nil"/>
              <w:bottom w:val="single" w:color="auto" w:sz="4" w:space="0"/>
              <w:right w:val="single" w:color="auto" w:sz="4" w:space="0"/>
            </w:tcBorders>
            <w:shd w:val="clear" w:color="auto" w:fill="auto"/>
            <w:vAlign w:val="center"/>
          </w:tcPr>
          <w:p w14:paraId="08C62006">
            <w:pPr>
              <w:widowControl/>
              <w:jc w:val="center"/>
              <w:rPr>
                <w:rFonts w:hint="eastAsia" w:ascii="宋体" w:hAnsi="宋体" w:cs="宋体"/>
                <w:kern w:val="0"/>
                <w:sz w:val="20"/>
                <w:szCs w:val="20"/>
              </w:rPr>
            </w:pPr>
            <w:r>
              <w:rPr>
                <w:rFonts w:hint="eastAsia" w:ascii="宋体" w:hAnsi="宋体" w:cs="宋体"/>
                <w:kern w:val="0"/>
                <w:sz w:val="20"/>
                <w:szCs w:val="20"/>
              </w:rPr>
              <w:t>&gt;=20期</w:t>
            </w:r>
          </w:p>
        </w:tc>
        <w:tc>
          <w:tcPr>
            <w:tcW w:w="1231" w:type="dxa"/>
            <w:tcBorders>
              <w:top w:val="nil"/>
              <w:left w:val="nil"/>
              <w:bottom w:val="single" w:color="auto" w:sz="4" w:space="0"/>
              <w:right w:val="single" w:color="auto" w:sz="4" w:space="0"/>
            </w:tcBorders>
            <w:shd w:val="clear" w:color="auto" w:fill="auto"/>
            <w:vAlign w:val="center"/>
          </w:tcPr>
          <w:p w14:paraId="33C74A4A">
            <w:pPr>
              <w:widowControl/>
              <w:jc w:val="center"/>
              <w:rPr>
                <w:rFonts w:hint="eastAsia" w:ascii="宋体" w:hAnsi="宋体" w:cs="宋体"/>
                <w:kern w:val="0"/>
                <w:sz w:val="20"/>
                <w:szCs w:val="20"/>
              </w:rPr>
            </w:pPr>
            <w:r>
              <w:rPr>
                <w:rFonts w:hint="eastAsia" w:ascii="宋体" w:hAnsi="宋体" w:cs="宋体"/>
                <w:kern w:val="0"/>
                <w:sz w:val="20"/>
                <w:szCs w:val="20"/>
              </w:rPr>
              <w:t>中共木垒哈萨克自治县委员会党校2023年工作计划</w:t>
            </w:r>
          </w:p>
        </w:tc>
        <w:tc>
          <w:tcPr>
            <w:tcW w:w="887" w:type="dxa"/>
            <w:tcBorders>
              <w:top w:val="nil"/>
              <w:left w:val="nil"/>
              <w:bottom w:val="single" w:color="auto" w:sz="4" w:space="0"/>
              <w:right w:val="single" w:color="auto" w:sz="4" w:space="0"/>
            </w:tcBorders>
            <w:shd w:val="clear" w:color="auto" w:fill="auto"/>
            <w:vAlign w:val="center"/>
          </w:tcPr>
          <w:p w14:paraId="7F79D6FD">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844" w:type="dxa"/>
            <w:tcBorders>
              <w:top w:val="nil"/>
              <w:left w:val="nil"/>
              <w:bottom w:val="single" w:color="auto" w:sz="4" w:space="0"/>
              <w:right w:val="single" w:color="auto" w:sz="4" w:space="0"/>
            </w:tcBorders>
            <w:shd w:val="clear" w:color="auto" w:fill="auto"/>
            <w:vAlign w:val="center"/>
          </w:tcPr>
          <w:p w14:paraId="0039AD83">
            <w:pPr>
              <w:widowControl/>
              <w:jc w:val="center"/>
              <w:rPr>
                <w:rFonts w:hint="eastAsia" w:ascii="宋体" w:hAnsi="宋体" w:cs="宋体"/>
                <w:kern w:val="0"/>
                <w:sz w:val="20"/>
                <w:szCs w:val="20"/>
              </w:rPr>
            </w:pPr>
            <w:r>
              <w:rPr>
                <w:rFonts w:hint="eastAsia" w:ascii="宋体" w:hAnsi="宋体" w:cs="宋体"/>
                <w:kern w:val="0"/>
                <w:sz w:val="20"/>
                <w:szCs w:val="20"/>
              </w:rPr>
              <w:t>20期</w:t>
            </w:r>
          </w:p>
        </w:tc>
        <w:tc>
          <w:tcPr>
            <w:tcW w:w="616" w:type="dxa"/>
            <w:tcBorders>
              <w:top w:val="nil"/>
              <w:left w:val="nil"/>
              <w:bottom w:val="single" w:color="auto" w:sz="4" w:space="0"/>
              <w:right w:val="single" w:color="auto" w:sz="4" w:space="0"/>
            </w:tcBorders>
            <w:shd w:val="clear" w:color="auto" w:fill="auto"/>
            <w:vAlign w:val="center"/>
          </w:tcPr>
          <w:p w14:paraId="3FC228F9">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32230793">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A48330B">
            <w:pPr>
              <w:widowControl/>
              <w:jc w:val="left"/>
              <w:rPr>
                <w:rFonts w:hint="eastAsia" w:ascii="宋体" w:hAnsi="宋体" w:cs="宋体"/>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2EDB0351">
            <w:pPr>
              <w:widowControl/>
              <w:jc w:val="left"/>
              <w:rPr>
                <w:rFonts w:hint="eastAsia" w:ascii="宋体" w:hAnsi="宋体" w:cs="宋体"/>
                <w:kern w:val="0"/>
                <w:sz w:val="20"/>
                <w:szCs w:val="20"/>
              </w:rPr>
            </w:pPr>
          </w:p>
        </w:tc>
        <w:tc>
          <w:tcPr>
            <w:tcW w:w="1060" w:type="dxa"/>
            <w:tcBorders>
              <w:top w:val="nil"/>
              <w:left w:val="nil"/>
              <w:bottom w:val="single" w:color="auto" w:sz="4" w:space="0"/>
              <w:right w:val="single" w:color="auto" w:sz="4" w:space="0"/>
            </w:tcBorders>
            <w:shd w:val="clear" w:color="auto" w:fill="auto"/>
            <w:vAlign w:val="center"/>
          </w:tcPr>
          <w:p w14:paraId="231AF77F">
            <w:pPr>
              <w:widowControl/>
              <w:jc w:val="center"/>
              <w:rPr>
                <w:rFonts w:hint="eastAsia" w:ascii="宋体" w:hAnsi="宋体" w:cs="宋体"/>
                <w:kern w:val="0"/>
                <w:sz w:val="20"/>
                <w:szCs w:val="20"/>
              </w:rPr>
            </w:pPr>
            <w:r>
              <w:rPr>
                <w:rFonts w:hint="eastAsia" w:ascii="宋体" w:hAnsi="宋体" w:cs="宋体"/>
                <w:kern w:val="0"/>
                <w:sz w:val="20"/>
                <w:szCs w:val="20"/>
              </w:rPr>
              <w:t>培训班次</w:t>
            </w:r>
          </w:p>
        </w:tc>
        <w:tc>
          <w:tcPr>
            <w:tcW w:w="1054" w:type="dxa"/>
            <w:tcBorders>
              <w:top w:val="nil"/>
              <w:left w:val="nil"/>
              <w:bottom w:val="single" w:color="auto" w:sz="4" w:space="0"/>
              <w:right w:val="single" w:color="auto" w:sz="4" w:space="0"/>
            </w:tcBorders>
            <w:shd w:val="clear" w:color="auto" w:fill="auto"/>
            <w:vAlign w:val="center"/>
          </w:tcPr>
          <w:p w14:paraId="5C957809">
            <w:pPr>
              <w:widowControl/>
              <w:jc w:val="center"/>
              <w:rPr>
                <w:rFonts w:hint="eastAsia" w:ascii="宋体" w:hAnsi="宋体" w:cs="宋体"/>
                <w:kern w:val="0"/>
                <w:sz w:val="20"/>
                <w:szCs w:val="20"/>
              </w:rPr>
            </w:pPr>
            <w:r>
              <w:rPr>
                <w:rFonts w:hint="eastAsia" w:ascii="宋体" w:hAnsi="宋体" w:cs="宋体"/>
                <w:kern w:val="0"/>
                <w:sz w:val="20"/>
                <w:szCs w:val="20"/>
              </w:rPr>
              <w:t>&gt;=15次</w:t>
            </w:r>
          </w:p>
        </w:tc>
        <w:tc>
          <w:tcPr>
            <w:tcW w:w="1231" w:type="dxa"/>
            <w:tcBorders>
              <w:top w:val="nil"/>
              <w:left w:val="nil"/>
              <w:bottom w:val="single" w:color="auto" w:sz="4" w:space="0"/>
              <w:right w:val="single" w:color="auto" w:sz="4" w:space="0"/>
            </w:tcBorders>
            <w:shd w:val="clear" w:color="auto" w:fill="auto"/>
            <w:vAlign w:val="center"/>
          </w:tcPr>
          <w:p w14:paraId="6D2AD43F">
            <w:pPr>
              <w:widowControl/>
              <w:jc w:val="center"/>
              <w:rPr>
                <w:rFonts w:hint="eastAsia" w:ascii="宋体" w:hAnsi="宋体" w:cs="宋体"/>
                <w:kern w:val="0"/>
                <w:sz w:val="20"/>
                <w:szCs w:val="20"/>
              </w:rPr>
            </w:pPr>
            <w:r>
              <w:rPr>
                <w:rFonts w:hint="eastAsia" w:ascii="宋体" w:hAnsi="宋体" w:cs="宋体"/>
                <w:kern w:val="0"/>
                <w:sz w:val="20"/>
                <w:szCs w:val="20"/>
              </w:rPr>
              <w:t>中共木垒哈萨克自治县委员会党校2023年工作计划</w:t>
            </w:r>
          </w:p>
        </w:tc>
        <w:tc>
          <w:tcPr>
            <w:tcW w:w="887" w:type="dxa"/>
            <w:tcBorders>
              <w:top w:val="nil"/>
              <w:left w:val="nil"/>
              <w:bottom w:val="single" w:color="auto" w:sz="4" w:space="0"/>
              <w:right w:val="single" w:color="auto" w:sz="4" w:space="0"/>
            </w:tcBorders>
            <w:shd w:val="clear" w:color="auto" w:fill="auto"/>
            <w:vAlign w:val="center"/>
          </w:tcPr>
          <w:p w14:paraId="1F1D7311">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844" w:type="dxa"/>
            <w:tcBorders>
              <w:top w:val="nil"/>
              <w:left w:val="nil"/>
              <w:bottom w:val="single" w:color="auto" w:sz="4" w:space="0"/>
              <w:right w:val="single" w:color="auto" w:sz="4" w:space="0"/>
            </w:tcBorders>
            <w:shd w:val="clear" w:color="auto" w:fill="auto"/>
            <w:vAlign w:val="center"/>
          </w:tcPr>
          <w:p w14:paraId="47D42885">
            <w:pPr>
              <w:widowControl/>
              <w:jc w:val="center"/>
              <w:rPr>
                <w:rFonts w:hint="eastAsia" w:ascii="宋体" w:hAnsi="宋体" w:cs="宋体"/>
                <w:kern w:val="0"/>
                <w:sz w:val="20"/>
                <w:szCs w:val="20"/>
              </w:rPr>
            </w:pPr>
            <w:r>
              <w:rPr>
                <w:rFonts w:hint="eastAsia" w:ascii="宋体" w:hAnsi="宋体" w:cs="宋体"/>
                <w:kern w:val="0"/>
                <w:sz w:val="20"/>
                <w:szCs w:val="20"/>
              </w:rPr>
              <w:t>15次</w:t>
            </w:r>
          </w:p>
        </w:tc>
        <w:tc>
          <w:tcPr>
            <w:tcW w:w="616" w:type="dxa"/>
            <w:tcBorders>
              <w:top w:val="nil"/>
              <w:left w:val="nil"/>
              <w:bottom w:val="single" w:color="auto" w:sz="4" w:space="0"/>
              <w:right w:val="single" w:color="auto" w:sz="4" w:space="0"/>
            </w:tcBorders>
            <w:shd w:val="clear" w:color="auto" w:fill="auto"/>
            <w:vAlign w:val="center"/>
          </w:tcPr>
          <w:p w14:paraId="31234BE3">
            <w:pPr>
              <w:widowControl/>
              <w:jc w:val="center"/>
              <w:rPr>
                <w:rFonts w:hint="eastAsia" w:ascii="宋体" w:hAnsi="宋体" w:cs="宋体"/>
                <w:kern w:val="0"/>
                <w:sz w:val="20"/>
                <w:szCs w:val="20"/>
              </w:rPr>
            </w:pPr>
            <w:r>
              <w:rPr>
                <w:rFonts w:hint="eastAsia" w:ascii="宋体" w:hAnsi="宋体" w:cs="宋体"/>
                <w:kern w:val="0"/>
                <w:sz w:val="20"/>
                <w:szCs w:val="20"/>
              </w:rPr>
              <w:t>8</w:t>
            </w:r>
          </w:p>
        </w:tc>
      </w:tr>
      <w:tr w14:paraId="7E8651E4">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4E67084">
            <w:pPr>
              <w:widowControl/>
              <w:jc w:val="left"/>
              <w:rPr>
                <w:rFonts w:hint="eastAsia" w:ascii="宋体" w:hAnsi="宋体" w:cs="宋体"/>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177730D4">
            <w:pPr>
              <w:widowControl/>
              <w:jc w:val="left"/>
              <w:rPr>
                <w:rFonts w:hint="eastAsia" w:ascii="宋体" w:hAnsi="宋体" w:cs="宋体"/>
                <w:kern w:val="0"/>
                <w:sz w:val="20"/>
                <w:szCs w:val="20"/>
              </w:rPr>
            </w:pPr>
          </w:p>
        </w:tc>
        <w:tc>
          <w:tcPr>
            <w:tcW w:w="1060" w:type="dxa"/>
            <w:tcBorders>
              <w:top w:val="nil"/>
              <w:left w:val="nil"/>
              <w:bottom w:val="single" w:color="auto" w:sz="4" w:space="0"/>
              <w:right w:val="single" w:color="auto" w:sz="4" w:space="0"/>
            </w:tcBorders>
            <w:shd w:val="clear" w:color="auto" w:fill="auto"/>
            <w:vAlign w:val="center"/>
          </w:tcPr>
          <w:p w14:paraId="5298E352">
            <w:pPr>
              <w:widowControl/>
              <w:jc w:val="center"/>
              <w:rPr>
                <w:rFonts w:hint="eastAsia" w:ascii="宋体" w:hAnsi="宋体" w:cs="宋体"/>
                <w:kern w:val="0"/>
                <w:sz w:val="20"/>
                <w:szCs w:val="20"/>
              </w:rPr>
            </w:pPr>
            <w:r>
              <w:rPr>
                <w:rFonts w:hint="eastAsia" w:ascii="宋体" w:hAnsi="宋体" w:cs="宋体"/>
                <w:kern w:val="0"/>
                <w:sz w:val="20"/>
                <w:szCs w:val="20"/>
              </w:rPr>
              <w:t>受训人数</w:t>
            </w:r>
          </w:p>
        </w:tc>
        <w:tc>
          <w:tcPr>
            <w:tcW w:w="1054" w:type="dxa"/>
            <w:tcBorders>
              <w:top w:val="nil"/>
              <w:left w:val="nil"/>
              <w:bottom w:val="single" w:color="auto" w:sz="4" w:space="0"/>
              <w:right w:val="single" w:color="auto" w:sz="4" w:space="0"/>
            </w:tcBorders>
            <w:shd w:val="clear" w:color="auto" w:fill="auto"/>
            <w:vAlign w:val="center"/>
          </w:tcPr>
          <w:p w14:paraId="4E55A45E">
            <w:pPr>
              <w:widowControl/>
              <w:jc w:val="center"/>
              <w:rPr>
                <w:rFonts w:hint="eastAsia" w:ascii="宋体" w:hAnsi="宋体" w:cs="宋体"/>
                <w:kern w:val="0"/>
                <w:sz w:val="20"/>
                <w:szCs w:val="20"/>
              </w:rPr>
            </w:pPr>
            <w:r>
              <w:rPr>
                <w:rFonts w:hint="eastAsia" w:ascii="宋体" w:hAnsi="宋体" w:cs="宋体"/>
                <w:kern w:val="0"/>
                <w:sz w:val="20"/>
                <w:szCs w:val="20"/>
              </w:rPr>
              <w:t>&gt;=2500人次</w:t>
            </w:r>
          </w:p>
        </w:tc>
        <w:tc>
          <w:tcPr>
            <w:tcW w:w="1231" w:type="dxa"/>
            <w:tcBorders>
              <w:top w:val="nil"/>
              <w:left w:val="nil"/>
              <w:bottom w:val="single" w:color="auto" w:sz="4" w:space="0"/>
              <w:right w:val="single" w:color="auto" w:sz="4" w:space="0"/>
            </w:tcBorders>
            <w:shd w:val="clear" w:color="auto" w:fill="auto"/>
            <w:vAlign w:val="center"/>
          </w:tcPr>
          <w:p w14:paraId="468F9359">
            <w:pPr>
              <w:widowControl/>
              <w:jc w:val="center"/>
              <w:rPr>
                <w:rFonts w:hint="eastAsia" w:ascii="宋体" w:hAnsi="宋体" w:cs="宋体"/>
                <w:kern w:val="0"/>
                <w:sz w:val="20"/>
                <w:szCs w:val="20"/>
              </w:rPr>
            </w:pPr>
            <w:r>
              <w:rPr>
                <w:rFonts w:hint="eastAsia" w:ascii="宋体" w:hAnsi="宋体" w:cs="宋体"/>
                <w:kern w:val="0"/>
                <w:sz w:val="20"/>
                <w:szCs w:val="20"/>
              </w:rPr>
              <w:t>中共木垒哈萨克自治县委员会党校2023年工作计划</w:t>
            </w:r>
          </w:p>
        </w:tc>
        <w:tc>
          <w:tcPr>
            <w:tcW w:w="887" w:type="dxa"/>
            <w:tcBorders>
              <w:top w:val="nil"/>
              <w:left w:val="nil"/>
              <w:bottom w:val="single" w:color="auto" w:sz="4" w:space="0"/>
              <w:right w:val="single" w:color="auto" w:sz="4" w:space="0"/>
            </w:tcBorders>
            <w:shd w:val="clear" w:color="auto" w:fill="auto"/>
            <w:vAlign w:val="center"/>
          </w:tcPr>
          <w:p w14:paraId="0D149813">
            <w:pPr>
              <w:widowControl/>
              <w:jc w:val="center"/>
              <w:rPr>
                <w:rFonts w:hint="eastAsia" w:ascii="宋体" w:hAnsi="宋体" w:cs="宋体"/>
                <w:kern w:val="0"/>
                <w:sz w:val="20"/>
                <w:szCs w:val="20"/>
              </w:rPr>
            </w:pPr>
            <w:r>
              <w:rPr>
                <w:rFonts w:hint="eastAsia" w:ascii="宋体" w:hAnsi="宋体" w:cs="宋体"/>
                <w:kern w:val="0"/>
                <w:sz w:val="20"/>
                <w:szCs w:val="20"/>
              </w:rPr>
              <w:t>6</w:t>
            </w:r>
          </w:p>
        </w:tc>
        <w:tc>
          <w:tcPr>
            <w:tcW w:w="844" w:type="dxa"/>
            <w:tcBorders>
              <w:top w:val="nil"/>
              <w:left w:val="nil"/>
              <w:bottom w:val="single" w:color="auto" w:sz="4" w:space="0"/>
              <w:right w:val="single" w:color="auto" w:sz="4" w:space="0"/>
            </w:tcBorders>
            <w:shd w:val="clear" w:color="auto" w:fill="auto"/>
            <w:vAlign w:val="center"/>
          </w:tcPr>
          <w:p w14:paraId="6A1AC31A">
            <w:pPr>
              <w:widowControl/>
              <w:jc w:val="center"/>
              <w:rPr>
                <w:rFonts w:hint="eastAsia" w:ascii="宋体" w:hAnsi="宋体" w:cs="宋体"/>
                <w:kern w:val="0"/>
                <w:sz w:val="20"/>
                <w:szCs w:val="20"/>
              </w:rPr>
            </w:pPr>
            <w:r>
              <w:rPr>
                <w:rFonts w:hint="eastAsia" w:ascii="宋体" w:hAnsi="宋体" w:cs="宋体"/>
                <w:kern w:val="0"/>
                <w:sz w:val="20"/>
                <w:szCs w:val="20"/>
              </w:rPr>
              <w:t>2500人次</w:t>
            </w:r>
          </w:p>
        </w:tc>
        <w:tc>
          <w:tcPr>
            <w:tcW w:w="616" w:type="dxa"/>
            <w:tcBorders>
              <w:top w:val="nil"/>
              <w:left w:val="nil"/>
              <w:bottom w:val="single" w:color="auto" w:sz="4" w:space="0"/>
              <w:right w:val="single" w:color="auto" w:sz="4" w:space="0"/>
            </w:tcBorders>
            <w:shd w:val="clear" w:color="auto" w:fill="auto"/>
            <w:vAlign w:val="center"/>
          </w:tcPr>
          <w:p w14:paraId="1FBBB11C">
            <w:pPr>
              <w:widowControl/>
              <w:jc w:val="center"/>
              <w:rPr>
                <w:rFonts w:hint="eastAsia" w:ascii="宋体" w:hAnsi="宋体" w:cs="宋体"/>
                <w:kern w:val="0"/>
                <w:sz w:val="20"/>
                <w:szCs w:val="20"/>
              </w:rPr>
            </w:pPr>
            <w:r>
              <w:rPr>
                <w:rFonts w:hint="eastAsia" w:ascii="宋体" w:hAnsi="宋体" w:cs="宋体"/>
                <w:kern w:val="0"/>
                <w:sz w:val="20"/>
                <w:szCs w:val="20"/>
              </w:rPr>
              <w:t>6</w:t>
            </w:r>
          </w:p>
        </w:tc>
      </w:tr>
      <w:tr w14:paraId="4A139B2D">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200860D">
            <w:pPr>
              <w:widowControl/>
              <w:jc w:val="left"/>
              <w:rPr>
                <w:rFonts w:hint="eastAsia" w:ascii="宋体" w:hAnsi="宋体" w:cs="宋体"/>
                <w:kern w:val="0"/>
                <w:sz w:val="20"/>
                <w:szCs w:val="20"/>
              </w:rPr>
            </w:pPr>
          </w:p>
        </w:tc>
        <w:tc>
          <w:tcPr>
            <w:tcW w:w="0" w:type="auto"/>
            <w:vMerge w:val="restart"/>
            <w:tcBorders>
              <w:top w:val="nil"/>
              <w:left w:val="single" w:color="auto" w:sz="4" w:space="0"/>
              <w:bottom w:val="single" w:color="auto" w:sz="4" w:space="0"/>
              <w:right w:val="single" w:color="auto" w:sz="4" w:space="0"/>
            </w:tcBorders>
            <w:shd w:val="clear" w:color="auto" w:fill="auto"/>
            <w:noWrap/>
            <w:vAlign w:val="center"/>
          </w:tcPr>
          <w:p w14:paraId="69235BB0">
            <w:pPr>
              <w:widowControl/>
              <w:jc w:val="left"/>
              <w:rPr>
                <w:rFonts w:hint="eastAsia" w:ascii="宋体" w:hAnsi="宋体" w:cs="宋体"/>
                <w:kern w:val="0"/>
                <w:sz w:val="20"/>
                <w:szCs w:val="20"/>
              </w:rPr>
            </w:pPr>
            <w:r>
              <w:rPr>
                <w:rFonts w:hint="eastAsia" w:ascii="宋体" w:hAnsi="宋体" w:cs="宋体"/>
                <w:kern w:val="0"/>
                <w:sz w:val="20"/>
                <w:szCs w:val="20"/>
              </w:rPr>
              <w:t>质量指标</w:t>
            </w:r>
          </w:p>
        </w:tc>
        <w:tc>
          <w:tcPr>
            <w:tcW w:w="1060" w:type="dxa"/>
            <w:tcBorders>
              <w:top w:val="nil"/>
              <w:left w:val="nil"/>
              <w:bottom w:val="single" w:color="auto" w:sz="4" w:space="0"/>
              <w:right w:val="single" w:color="auto" w:sz="4" w:space="0"/>
            </w:tcBorders>
            <w:shd w:val="clear" w:color="auto" w:fill="auto"/>
            <w:noWrap/>
            <w:vAlign w:val="center"/>
          </w:tcPr>
          <w:p w14:paraId="0C816D46">
            <w:pPr>
              <w:widowControl/>
              <w:jc w:val="left"/>
              <w:rPr>
                <w:rFonts w:hint="eastAsia" w:ascii="宋体" w:hAnsi="宋体" w:cs="宋体"/>
                <w:kern w:val="0"/>
                <w:sz w:val="20"/>
                <w:szCs w:val="20"/>
              </w:rPr>
            </w:pPr>
            <w:r>
              <w:rPr>
                <w:rFonts w:hint="eastAsia" w:ascii="宋体" w:hAnsi="宋体" w:cs="宋体"/>
                <w:kern w:val="0"/>
                <w:sz w:val="20"/>
                <w:szCs w:val="20"/>
              </w:rPr>
              <w:t>课程更新率</w:t>
            </w:r>
          </w:p>
        </w:tc>
        <w:tc>
          <w:tcPr>
            <w:tcW w:w="1054" w:type="dxa"/>
            <w:tcBorders>
              <w:top w:val="nil"/>
              <w:left w:val="nil"/>
              <w:bottom w:val="single" w:color="auto" w:sz="4" w:space="0"/>
              <w:right w:val="single" w:color="auto" w:sz="4" w:space="0"/>
            </w:tcBorders>
            <w:shd w:val="clear" w:color="auto" w:fill="auto"/>
            <w:noWrap/>
            <w:vAlign w:val="center"/>
          </w:tcPr>
          <w:p w14:paraId="5C49C3FC">
            <w:pPr>
              <w:widowControl/>
              <w:jc w:val="left"/>
              <w:rPr>
                <w:rFonts w:hint="eastAsia" w:ascii="宋体" w:hAnsi="宋体" w:cs="宋体"/>
                <w:kern w:val="0"/>
                <w:sz w:val="20"/>
                <w:szCs w:val="20"/>
              </w:rPr>
            </w:pPr>
            <w:r>
              <w:rPr>
                <w:rFonts w:hint="eastAsia" w:ascii="宋体" w:hAnsi="宋体" w:cs="宋体"/>
                <w:kern w:val="0"/>
                <w:sz w:val="20"/>
                <w:szCs w:val="20"/>
              </w:rPr>
              <w:t>&gt;=99%</w:t>
            </w:r>
          </w:p>
        </w:tc>
        <w:tc>
          <w:tcPr>
            <w:tcW w:w="1231" w:type="dxa"/>
            <w:tcBorders>
              <w:top w:val="nil"/>
              <w:left w:val="nil"/>
              <w:bottom w:val="single" w:color="auto" w:sz="4" w:space="0"/>
              <w:right w:val="single" w:color="auto" w:sz="4" w:space="0"/>
            </w:tcBorders>
            <w:shd w:val="clear" w:color="auto" w:fill="auto"/>
            <w:noWrap/>
            <w:vAlign w:val="center"/>
          </w:tcPr>
          <w:p w14:paraId="14F0852C">
            <w:pPr>
              <w:widowControl/>
              <w:jc w:val="left"/>
              <w:rPr>
                <w:rFonts w:hint="eastAsia" w:ascii="宋体" w:hAnsi="宋体" w:cs="宋体"/>
                <w:kern w:val="0"/>
                <w:sz w:val="20"/>
                <w:szCs w:val="20"/>
              </w:rPr>
            </w:pPr>
            <w:r>
              <w:rPr>
                <w:rFonts w:hint="eastAsia" w:ascii="宋体" w:hAnsi="宋体" w:cs="宋体"/>
                <w:kern w:val="0"/>
                <w:sz w:val="20"/>
                <w:szCs w:val="20"/>
              </w:rPr>
              <w:t>中共木垒哈萨克自治县委员会党校2023年工作计划</w:t>
            </w:r>
          </w:p>
        </w:tc>
        <w:tc>
          <w:tcPr>
            <w:tcW w:w="887" w:type="dxa"/>
            <w:tcBorders>
              <w:top w:val="nil"/>
              <w:left w:val="nil"/>
              <w:bottom w:val="single" w:color="auto" w:sz="4" w:space="0"/>
              <w:right w:val="single" w:color="auto" w:sz="4" w:space="0"/>
            </w:tcBorders>
            <w:shd w:val="clear" w:color="auto" w:fill="auto"/>
            <w:noWrap/>
            <w:vAlign w:val="center"/>
          </w:tcPr>
          <w:p w14:paraId="6A31AEAA">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844" w:type="dxa"/>
            <w:tcBorders>
              <w:top w:val="nil"/>
              <w:left w:val="nil"/>
              <w:bottom w:val="single" w:color="auto" w:sz="4" w:space="0"/>
              <w:right w:val="single" w:color="auto" w:sz="4" w:space="0"/>
            </w:tcBorders>
            <w:shd w:val="clear" w:color="auto" w:fill="auto"/>
            <w:noWrap/>
            <w:vAlign w:val="center"/>
          </w:tcPr>
          <w:p w14:paraId="0F06AD1E">
            <w:pPr>
              <w:widowControl/>
              <w:jc w:val="left"/>
              <w:rPr>
                <w:rFonts w:hint="eastAsia" w:ascii="宋体" w:hAnsi="宋体" w:cs="宋体"/>
                <w:kern w:val="0"/>
                <w:sz w:val="20"/>
                <w:szCs w:val="20"/>
              </w:rPr>
            </w:pPr>
            <w:r>
              <w:rPr>
                <w:rFonts w:hint="eastAsia" w:ascii="宋体" w:hAnsi="宋体" w:cs="宋体"/>
                <w:kern w:val="0"/>
                <w:sz w:val="20"/>
                <w:szCs w:val="20"/>
              </w:rPr>
              <w:t>99%</w:t>
            </w:r>
          </w:p>
        </w:tc>
        <w:tc>
          <w:tcPr>
            <w:tcW w:w="616" w:type="dxa"/>
            <w:tcBorders>
              <w:top w:val="nil"/>
              <w:left w:val="nil"/>
              <w:bottom w:val="single" w:color="auto" w:sz="4" w:space="0"/>
              <w:right w:val="single" w:color="auto" w:sz="4" w:space="0"/>
            </w:tcBorders>
            <w:shd w:val="clear" w:color="auto" w:fill="auto"/>
            <w:noWrap/>
            <w:vAlign w:val="center"/>
          </w:tcPr>
          <w:p w14:paraId="0E2C06F5">
            <w:pPr>
              <w:widowControl/>
              <w:jc w:val="left"/>
              <w:rPr>
                <w:rFonts w:hint="eastAsia" w:ascii="宋体" w:hAnsi="宋体" w:cs="宋体"/>
                <w:kern w:val="0"/>
                <w:sz w:val="20"/>
                <w:szCs w:val="20"/>
              </w:rPr>
            </w:pPr>
            <w:r>
              <w:rPr>
                <w:rFonts w:hint="eastAsia" w:ascii="宋体" w:hAnsi="宋体" w:cs="宋体"/>
                <w:kern w:val="0"/>
                <w:sz w:val="20"/>
                <w:szCs w:val="20"/>
              </w:rPr>
              <w:t>10</w:t>
            </w:r>
          </w:p>
        </w:tc>
      </w:tr>
      <w:tr w14:paraId="4EBF5201">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D34F3B3">
            <w:pPr>
              <w:widowControl/>
              <w:jc w:val="left"/>
              <w:rPr>
                <w:rFonts w:hint="eastAsia" w:ascii="宋体" w:hAnsi="宋体" w:cs="宋体"/>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2375F884">
            <w:pPr>
              <w:widowControl/>
              <w:jc w:val="left"/>
              <w:rPr>
                <w:rFonts w:hint="eastAsia" w:ascii="宋体" w:hAnsi="宋体" w:cs="宋体"/>
                <w:kern w:val="0"/>
                <w:sz w:val="20"/>
                <w:szCs w:val="20"/>
              </w:rPr>
            </w:pPr>
          </w:p>
        </w:tc>
        <w:tc>
          <w:tcPr>
            <w:tcW w:w="1060" w:type="dxa"/>
            <w:tcBorders>
              <w:top w:val="nil"/>
              <w:left w:val="nil"/>
              <w:bottom w:val="single" w:color="auto" w:sz="4" w:space="0"/>
              <w:right w:val="single" w:color="auto" w:sz="4" w:space="0"/>
            </w:tcBorders>
            <w:shd w:val="clear" w:color="auto" w:fill="auto"/>
            <w:noWrap/>
            <w:vAlign w:val="center"/>
          </w:tcPr>
          <w:p w14:paraId="7FCB9560">
            <w:pPr>
              <w:widowControl/>
              <w:jc w:val="left"/>
              <w:rPr>
                <w:rFonts w:hint="eastAsia" w:ascii="宋体" w:hAnsi="宋体" w:cs="宋体"/>
                <w:kern w:val="0"/>
                <w:sz w:val="20"/>
                <w:szCs w:val="20"/>
              </w:rPr>
            </w:pPr>
            <w:r>
              <w:rPr>
                <w:rFonts w:hint="eastAsia" w:ascii="宋体" w:hAnsi="宋体" w:cs="宋体"/>
                <w:kern w:val="0"/>
                <w:sz w:val="20"/>
                <w:szCs w:val="20"/>
              </w:rPr>
              <w:t>培训出勤率</w:t>
            </w:r>
          </w:p>
        </w:tc>
        <w:tc>
          <w:tcPr>
            <w:tcW w:w="1054" w:type="dxa"/>
            <w:tcBorders>
              <w:top w:val="nil"/>
              <w:left w:val="nil"/>
              <w:bottom w:val="single" w:color="auto" w:sz="4" w:space="0"/>
              <w:right w:val="single" w:color="auto" w:sz="4" w:space="0"/>
            </w:tcBorders>
            <w:shd w:val="clear" w:color="auto" w:fill="auto"/>
            <w:noWrap/>
            <w:vAlign w:val="center"/>
          </w:tcPr>
          <w:p w14:paraId="402E7145">
            <w:pPr>
              <w:widowControl/>
              <w:jc w:val="left"/>
              <w:rPr>
                <w:rFonts w:hint="eastAsia" w:ascii="宋体" w:hAnsi="宋体" w:cs="宋体"/>
                <w:kern w:val="0"/>
                <w:sz w:val="20"/>
                <w:szCs w:val="20"/>
              </w:rPr>
            </w:pPr>
            <w:r>
              <w:rPr>
                <w:rFonts w:hint="eastAsia" w:ascii="宋体" w:hAnsi="宋体" w:cs="宋体"/>
                <w:kern w:val="0"/>
                <w:sz w:val="20"/>
                <w:szCs w:val="20"/>
              </w:rPr>
              <w:t>&gt;=98%</w:t>
            </w:r>
          </w:p>
        </w:tc>
        <w:tc>
          <w:tcPr>
            <w:tcW w:w="1231" w:type="dxa"/>
            <w:tcBorders>
              <w:top w:val="nil"/>
              <w:left w:val="nil"/>
              <w:bottom w:val="single" w:color="auto" w:sz="4" w:space="0"/>
              <w:right w:val="single" w:color="auto" w:sz="4" w:space="0"/>
            </w:tcBorders>
            <w:shd w:val="clear" w:color="auto" w:fill="auto"/>
            <w:noWrap/>
            <w:vAlign w:val="center"/>
          </w:tcPr>
          <w:p w14:paraId="50BC4566">
            <w:pPr>
              <w:widowControl/>
              <w:jc w:val="left"/>
              <w:rPr>
                <w:rFonts w:hint="eastAsia" w:ascii="宋体" w:hAnsi="宋体" w:cs="宋体"/>
                <w:kern w:val="0"/>
                <w:sz w:val="20"/>
                <w:szCs w:val="20"/>
              </w:rPr>
            </w:pPr>
            <w:r>
              <w:rPr>
                <w:rFonts w:hint="eastAsia" w:ascii="宋体" w:hAnsi="宋体" w:cs="宋体"/>
                <w:kern w:val="0"/>
                <w:sz w:val="20"/>
                <w:szCs w:val="20"/>
              </w:rPr>
              <w:t>中共木垒哈萨克自治县委员会党校2023年工作计划</w:t>
            </w:r>
          </w:p>
        </w:tc>
        <w:tc>
          <w:tcPr>
            <w:tcW w:w="887" w:type="dxa"/>
            <w:tcBorders>
              <w:top w:val="nil"/>
              <w:left w:val="nil"/>
              <w:bottom w:val="single" w:color="auto" w:sz="4" w:space="0"/>
              <w:right w:val="single" w:color="auto" w:sz="4" w:space="0"/>
            </w:tcBorders>
            <w:shd w:val="clear" w:color="auto" w:fill="auto"/>
            <w:noWrap/>
            <w:vAlign w:val="center"/>
          </w:tcPr>
          <w:p w14:paraId="61BF3205">
            <w:pPr>
              <w:widowControl/>
              <w:jc w:val="left"/>
              <w:rPr>
                <w:rFonts w:hint="eastAsia" w:ascii="宋体" w:hAnsi="宋体" w:cs="宋体"/>
                <w:kern w:val="0"/>
                <w:sz w:val="20"/>
                <w:szCs w:val="20"/>
              </w:rPr>
            </w:pPr>
            <w:r>
              <w:rPr>
                <w:rFonts w:hint="eastAsia" w:ascii="宋体" w:hAnsi="宋体" w:cs="宋体"/>
                <w:kern w:val="0"/>
                <w:sz w:val="20"/>
                <w:szCs w:val="20"/>
              </w:rPr>
              <w:t>8</w:t>
            </w:r>
          </w:p>
        </w:tc>
        <w:tc>
          <w:tcPr>
            <w:tcW w:w="844" w:type="dxa"/>
            <w:tcBorders>
              <w:top w:val="nil"/>
              <w:left w:val="nil"/>
              <w:bottom w:val="single" w:color="auto" w:sz="4" w:space="0"/>
              <w:right w:val="single" w:color="auto" w:sz="4" w:space="0"/>
            </w:tcBorders>
            <w:shd w:val="clear" w:color="auto" w:fill="auto"/>
            <w:noWrap/>
            <w:vAlign w:val="center"/>
          </w:tcPr>
          <w:p w14:paraId="7EEECD18">
            <w:pPr>
              <w:widowControl/>
              <w:jc w:val="left"/>
              <w:rPr>
                <w:rFonts w:hint="eastAsia" w:ascii="宋体" w:hAnsi="宋体" w:cs="宋体"/>
                <w:kern w:val="0"/>
                <w:sz w:val="20"/>
                <w:szCs w:val="20"/>
              </w:rPr>
            </w:pPr>
            <w:r>
              <w:rPr>
                <w:rFonts w:hint="eastAsia" w:ascii="宋体" w:hAnsi="宋体" w:cs="宋体"/>
                <w:kern w:val="0"/>
                <w:sz w:val="20"/>
                <w:szCs w:val="20"/>
              </w:rPr>
              <w:t>98%</w:t>
            </w:r>
          </w:p>
        </w:tc>
        <w:tc>
          <w:tcPr>
            <w:tcW w:w="616" w:type="dxa"/>
            <w:tcBorders>
              <w:top w:val="nil"/>
              <w:left w:val="nil"/>
              <w:bottom w:val="single" w:color="auto" w:sz="4" w:space="0"/>
              <w:right w:val="single" w:color="auto" w:sz="4" w:space="0"/>
            </w:tcBorders>
            <w:shd w:val="clear" w:color="auto" w:fill="auto"/>
            <w:noWrap/>
            <w:vAlign w:val="center"/>
          </w:tcPr>
          <w:p w14:paraId="2A3F0569">
            <w:pPr>
              <w:widowControl/>
              <w:jc w:val="left"/>
              <w:rPr>
                <w:rFonts w:hint="eastAsia" w:ascii="宋体" w:hAnsi="宋体" w:cs="宋体"/>
                <w:kern w:val="0"/>
                <w:sz w:val="20"/>
                <w:szCs w:val="20"/>
              </w:rPr>
            </w:pPr>
            <w:r>
              <w:rPr>
                <w:rFonts w:hint="eastAsia" w:ascii="宋体" w:hAnsi="宋体" w:cs="宋体"/>
                <w:kern w:val="0"/>
                <w:sz w:val="20"/>
                <w:szCs w:val="20"/>
              </w:rPr>
              <w:t>8</w:t>
            </w:r>
          </w:p>
        </w:tc>
      </w:tr>
      <w:tr w14:paraId="5AC66FFA">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CB9C76F">
            <w:pPr>
              <w:widowControl/>
              <w:jc w:val="left"/>
              <w:rPr>
                <w:rFonts w:hint="eastAsia" w:ascii="宋体" w:hAnsi="宋体" w:cs="宋体"/>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1E24A35A">
            <w:pPr>
              <w:widowControl/>
              <w:jc w:val="left"/>
              <w:rPr>
                <w:rFonts w:hint="eastAsia" w:ascii="宋体" w:hAnsi="宋体" w:cs="宋体"/>
                <w:kern w:val="0"/>
                <w:sz w:val="20"/>
                <w:szCs w:val="20"/>
              </w:rPr>
            </w:pPr>
          </w:p>
        </w:tc>
        <w:tc>
          <w:tcPr>
            <w:tcW w:w="1060" w:type="dxa"/>
            <w:tcBorders>
              <w:top w:val="nil"/>
              <w:left w:val="nil"/>
              <w:bottom w:val="single" w:color="auto" w:sz="4" w:space="0"/>
              <w:right w:val="single" w:color="auto" w:sz="4" w:space="0"/>
            </w:tcBorders>
            <w:shd w:val="clear" w:color="auto" w:fill="auto"/>
            <w:noWrap/>
            <w:vAlign w:val="center"/>
          </w:tcPr>
          <w:p w14:paraId="7E9B65BE">
            <w:pPr>
              <w:widowControl/>
              <w:jc w:val="left"/>
              <w:rPr>
                <w:rFonts w:hint="eastAsia" w:ascii="宋体" w:hAnsi="宋体" w:cs="宋体"/>
                <w:kern w:val="0"/>
                <w:sz w:val="20"/>
                <w:szCs w:val="20"/>
              </w:rPr>
            </w:pPr>
            <w:r>
              <w:rPr>
                <w:rFonts w:hint="eastAsia" w:ascii="宋体" w:hAnsi="宋体" w:cs="宋体"/>
                <w:kern w:val="0"/>
                <w:sz w:val="20"/>
                <w:szCs w:val="20"/>
              </w:rPr>
              <w:t>学员结业率</w:t>
            </w:r>
          </w:p>
        </w:tc>
        <w:tc>
          <w:tcPr>
            <w:tcW w:w="1054" w:type="dxa"/>
            <w:tcBorders>
              <w:top w:val="nil"/>
              <w:left w:val="nil"/>
              <w:bottom w:val="single" w:color="auto" w:sz="4" w:space="0"/>
              <w:right w:val="single" w:color="auto" w:sz="4" w:space="0"/>
            </w:tcBorders>
            <w:shd w:val="clear" w:color="auto" w:fill="auto"/>
            <w:noWrap/>
            <w:vAlign w:val="center"/>
          </w:tcPr>
          <w:p w14:paraId="2A9B371D">
            <w:pPr>
              <w:widowControl/>
              <w:jc w:val="left"/>
              <w:rPr>
                <w:rFonts w:hint="eastAsia" w:ascii="宋体" w:hAnsi="宋体" w:cs="宋体"/>
                <w:kern w:val="0"/>
                <w:sz w:val="20"/>
                <w:szCs w:val="20"/>
              </w:rPr>
            </w:pPr>
            <w:r>
              <w:rPr>
                <w:rFonts w:hint="eastAsia" w:ascii="宋体" w:hAnsi="宋体" w:cs="宋体"/>
                <w:kern w:val="0"/>
                <w:sz w:val="20"/>
                <w:szCs w:val="20"/>
              </w:rPr>
              <w:t>&gt;=98%</w:t>
            </w:r>
          </w:p>
        </w:tc>
        <w:tc>
          <w:tcPr>
            <w:tcW w:w="1231" w:type="dxa"/>
            <w:tcBorders>
              <w:top w:val="nil"/>
              <w:left w:val="nil"/>
              <w:bottom w:val="single" w:color="auto" w:sz="4" w:space="0"/>
              <w:right w:val="single" w:color="auto" w:sz="4" w:space="0"/>
            </w:tcBorders>
            <w:shd w:val="clear" w:color="auto" w:fill="auto"/>
            <w:noWrap/>
            <w:vAlign w:val="center"/>
          </w:tcPr>
          <w:p w14:paraId="1F9E2E93">
            <w:pPr>
              <w:widowControl/>
              <w:jc w:val="left"/>
              <w:rPr>
                <w:rFonts w:hint="eastAsia" w:ascii="宋体" w:hAnsi="宋体" w:cs="宋体"/>
                <w:kern w:val="0"/>
                <w:sz w:val="20"/>
                <w:szCs w:val="20"/>
              </w:rPr>
            </w:pPr>
            <w:r>
              <w:rPr>
                <w:rFonts w:hint="eastAsia" w:ascii="宋体" w:hAnsi="宋体" w:cs="宋体"/>
                <w:kern w:val="0"/>
                <w:sz w:val="20"/>
                <w:szCs w:val="20"/>
              </w:rPr>
              <w:t>中共木垒哈萨克自治县委员会党校2023年工作计划</w:t>
            </w:r>
          </w:p>
        </w:tc>
        <w:tc>
          <w:tcPr>
            <w:tcW w:w="887" w:type="dxa"/>
            <w:tcBorders>
              <w:top w:val="nil"/>
              <w:left w:val="nil"/>
              <w:bottom w:val="single" w:color="auto" w:sz="4" w:space="0"/>
              <w:right w:val="single" w:color="auto" w:sz="4" w:space="0"/>
            </w:tcBorders>
            <w:shd w:val="clear" w:color="auto" w:fill="auto"/>
            <w:noWrap/>
            <w:vAlign w:val="center"/>
          </w:tcPr>
          <w:p w14:paraId="126D8B7B">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844" w:type="dxa"/>
            <w:tcBorders>
              <w:top w:val="nil"/>
              <w:left w:val="nil"/>
              <w:bottom w:val="single" w:color="auto" w:sz="4" w:space="0"/>
              <w:right w:val="single" w:color="auto" w:sz="4" w:space="0"/>
            </w:tcBorders>
            <w:shd w:val="clear" w:color="auto" w:fill="auto"/>
            <w:noWrap/>
            <w:vAlign w:val="center"/>
          </w:tcPr>
          <w:p w14:paraId="0F8CAB81">
            <w:pPr>
              <w:widowControl/>
              <w:jc w:val="left"/>
              <w:rPr>
                <w:rFonts w:hint="eastAsia" w:ascii="宋体" w:hAnsi="宋体" w:cs="宋体"/>
                <w:kern w:val="0"/>
                <w:sz w:val="20"/>
                <w:szCs w:val="20"/>
              </w:rPr>
            </w:pPr>
            <w:r>
              <w:rPr>
                <w:rFonts w:hint="eastAsia" w:ascii="宋体" w:hAnsi="宋体" w:cs="宋体"/>
                <w:kern w:val="0"/>
                <w:sz w:val="20"/>
                <w:szCs w:val="20"/>
              </w:rPr>
              <w:t>98%</w:t>
            </w:r>
          </w:p>
        </w:tc>
        <w:tc>
          <w:tcPr>
            <w:tcW w:w="616" w:type="dxa"/>
            <w:tcBorders>
              <w:top w:val="nil"/>
              <w:left w:val="nil"/>
              <w:bottom w:val="single" w:color="auto" w:sz="4" w:space="0"/>
              <w:right w:val="single" w:color="auto" w:sz="4" w:space="0"/>
            </w:tcBorders>
            <w:shd w:val="clear" w:color="auto" w:fill="auto"/>
            <w:noWrap/>
            <w:vAlign w:val="center"/>
          </w:tcPr>
          <w:p w14:paraId="229C21B9">
            <w:pPr>
              <w:widowControl/>
              <w:jc w:val="left"/>
              <w:rPr>
                <w:rFonts w:hint="eastAsia" w:ascii="宋体" w:hAnsi="宋体" w:cs="宋体"/>
                <w:kern w:val="0"/>
                <w:sz w:val="20"/>
                <w:szCs w:val="20"/>
              </w:rPr>
            </w:pPr>
            <w:r>
              <w:rPr>
                <w:rFonts w:hint="eastAsia" w:ascii="宋体" w:hAnsi="宋体" w:cs="宋体"/>
                <w:kern w:val="0"/>
                <w:sz w:val="20"/>
                <w:szCs w:val="20"/>
              </w:rPr>
              <w:t>10</w:t>
            </w:r>
          </w:p>
        </w:tc>
      </w:tr>
      <w:tr w14:paraId="4D2AFD2E">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09C2A563">
            <w:pPr>
              <w:widowControl/>
              <w:jc w:val="left"/>
              <w:rPr>
                <w:rFonts w:hint="eastAsia" w:ascii="宋体" w:hAnsi="宋体" w:cs="宋体"/>
                <w:kern w:val="0"/>
                <w:sz w:val="20"/>
                <w:szCs w:val="20"/>
              </w:rPr>
            </w:pPr>
            <w:r>
              <w:rPr>
                <w:rFonts w:hint="eastAsia" w:ascii="宋体" w:hAnsi="宋体" w:cs="宋体"/>
                <w:kern w:val="0"/>
                <w:sz w:val="20"/>
                <w:szCs w:val="20"/>
              </w:rPr>
              <w:t>社会效益</w:t>
            </w:r>
          </w:p>
        </w:tc>
        <w:tc>
          <w:tcPr>
            <w:tcW w:w="0" w:type="auto"/>
            <w:tcBorders>
              <w:top w:val="nil"/>
              <w:left w:val="nil"/>
              <w:bottom w:val="single" w:color="auto" w:sz="4" w:space="0"/>
              <w:right w:val="single" w:color="auto" w:sz="4" w:space="0"/>
            </w:tcBorders>
            <w:shd w:val="clear" w:color="auto" w:fill="auto"/>
            <w:noWrap/>
            <w:vAlign w:val="center"/>
          </w:tcPr>
          <w:p w14:paraId="0B4F7918">
            <w:pPr>
              <w:widowControl/>
              <w:jc w:val="left"/>
              <w:rPr>
                <w:rFonts w:hint="eastAsia" w:ascii="宋体" w:hAnsi="宋体" w:cs="宋体"/>
                <w:kern w:val="0"/>
                <w:sz w:val="20"/>
                <w:szCs w:val="20"/>
              </w:rPr>
            </w:pPr>
            <w:r>
              <w:rPr>
                <w:rFonts w:hint="eastAsia" w:ascii="宋体" w:hAnsi="宋体" w:cs="宋体"/>
                <w:kern w:val="0"/>
                <w:sz w:val="20"/>
                <w:szCs w:val="20"/>
              </w:rPr>
              <w:t>数量指标</w:t>
            </w:r>
          </w:p>
        </w:tc>
        <w:tc>
          <w:tcPr>
            <w:tcW w:w="1060" w:type="dxa"/>
            <w:tcBorders>
              <w:top w:val="nil"/>
              <w:left w:val="nil"/>
              <w:bottom w:val="single" w:color="auto" w:sz="4" w:space="0"/>
              <w:right w:val="single" w:color="auto" w:sz="4" w:space="0"/>
            </w:tcBorders>
            <w:shd w:val="clear" w:color="auto" w:fill="auto"/>
            <w:noWrap/>
            <w:vAlign w:val="center"/>
          </w:tcPr>
          <w:p w14:paraId="02E5550E">
            <w:pPr>
              <w:widowControl/>
              <w:jc w:val="left"/>
              <w:rPr>
                <w:rFonts w:hint="eastAsia" w:ascii="宋体" w:hAnsi="宋体" w:cs="宋体"/>
                <w:kern w:val="0"/>
                <w:sz w:val="20"/>
                <w:szCs w:val="20"/>
              </w:rPr>
            </w:pPr>
            <w:r>
              <w:rPr>
                <w:rFonts w:hint="eastAsia" w:ascii="宋体" w:hAnsi="宋体" w:cs="宋体"/>
                <w:kern w:val="0"/>
                <w:sz w:val="20"/>
                <w:szCs w:val="20"/>
              </w:rPr>
              <w:t>学员合理诉求解决率</w:t>
            </w:r>
          </w:p>
        </w:tc>
        <w:tc>
          <w:tcPr>
            <w:tcW w:w="1054" w:type="dxa"/>
            <w:tcBorders>
              <w:top w:val="nil"/>
              <w:left w:val="nil"/>
              <w:bottom w:val="single" w:color="auto" w:sz="4" w:space="0"/>
              <w:right w:val="single" w:color="auto" w:sz="4" w:space="0"/>
            </w:tcBorders>
            <w:shd w:val="clear" w:color="auto" w:fill="auto"/>
            <w:noWrap/>
            <w:vAlign w:val="center"/>
          </w:tcPr>
          <w:p w14:paraId="32FCAA91">
            <w:pPr>
              <w:widowControl/>
              <w:jc w:val="left"/>
              <w:rPr>
                <w:rFonts w:hint="eastAsia" w:ascii="宋体" w:hAnsi="宋体" w:cs="宋体"/>
                <w:kern w:val="0"/>
                <w:sz w:val="20"/>
                <w:szCs w:val="20"/>
              </w:rPr>
            </w:pPr>
            <w:r>
              <w:rPr>
                <w:rFonts w:hint="eastAsia" w:ascii="宋体" w:hAnsi="宋体" w:cs="宋体"/>
                <w:kern w:val="0"/>
                <w:sz w:val="20"/>
                <w:szCs w:val="20"/>
              </w:rPr>
              <w:t>&gt;=99%</w:t>
            </w:r>
          </w:p>
        </w:tc>
        <w:tc>
          <w:tcPr>
            <w:tcW w:w="1231" w:type="dxa"/>
            <w:tcBorders>
              <w:top w:val="nil"/>
              <w:left w:val="nil"/>
              <w:bottom w:val="single" w:color="auto" w:sz="4" w:space="0"/>
              <w:right w:val="single" w:color="auto" w:sz="4" w:space="0"/>
            </w:tcBorders>
            <w:shd w:val="clear" w:color="auto" w:fill="auto"/>
            <w:noWrap/>
            <w:vAlign w:val="center"/>
          </w:tcPr>
          <w:p w14:paraId="22284429">
            <w:pPr>
              <w:widowControl/>
              <w:jc w:val="left"/>
              <w:rPr>
                <w:rFonts w:hint="eastAsia" w:ascii="宋体" w:hAnsi="宋体" w:cs="宋体"/>
                <w:kern w:val="0"/>
                <w:sz w:val="20"/>
                <w:szCs w:val="20"/>
              </w:rPr>
            </w:pPr>
            <w:r>
              <w:rPr>
                <w:rFonts w:hint="eastAsia" w:ascii="宋体" w:hAnsi="宋体" w:cs="宋体"/>
                <w:kern w:val="0"/>
                <w:sz w:val="20"/>
                <w:szCs w:val="20"/>
              </w:rPr>
              <w:t>中共木垒哈萨克自治县委员会党校2023年工作计划</w:t>
            </w:r>
          </w:p>
        </w:tc>
        <w:tc>
          <w:tcPr>
            <w:tcW w:w="887" w:type="dxa"/>
            <w:tcBorders>
              <w:top w:val="nil"/>
              <w:left w:val="nil"/>
              <w:bottom w:val="single" w:color="auto" w:sz="4" w:space="0"/>
              <w:right w:val="single" w:color="auto" w:sz="4" w:space="0"/>
            </w:tcBorders>
            <w:shd w:val="clear" w:color="auto" w:fill="auto"/>
            <w:noWrap/>
            <w:vAlign w:val="center"/>
          </w:tcPr>
          <w:p w14:paraId="7DCBAE4F">
            <w:pPr>
              <w:widowControl/>
              <w:jc w:val="left"/>
              <w:rPr>
                <w:rFonts w:hint="eastAsia" w:ascii="宋体" w:hAnsi="宋体" w:cs="宋体"/>
                <w:kern w:val="0"/>
                <w:sz w:val="20"/>
                <w:szCs w:val="20"/>
              </w:rPr>
            </w:pPr>
            <w:r>
              <w:rPr>
                <w:rFonts w:hint="eastAsia" w:ascii="宋体" w:hAnsi="宋体" w:cs="宋体"/>
                <w:kern w:val="0"/>
                <w:sz w:val="20"/>
                <w:szCs w:val="20"/>
              </w:rPr>
              <w:t>6</w:t>
            </w:r>
          </w:p>
        </w:tc>
        <w:tc>
          <w:tcPr>
            <w:tcW w:w="844" w:type="dxa"/>
            <w:tcBorders>
              <w:top w:val="nil"/>
              <w:left w:val="nil"/>
              <w:bottom w:val="single" w:color="auto" w:sz="4" w:space="0"/>
              <w:right w:val="single" w:color="auto" w:sz="4" w:space="0"/>
            </w:tcBorders>
            <w:shd w:val="clear" w:color="auto" w:fill="auto"/>
            <w:noWrap/>
            <w:vAlign w:val="center"/>
          </w:tcPr>
          <w:p w14:paraId="09EB0F9A">
            <w:pPr>
              <w:widowControl/>
              <w:jc w:val="left"/>
              <w:rPr>
                <w:rFonts w:hint="eastAsia" w:ascii="宋体" w:hAnsi="宋体" w:cs="宋体"/>
                <w:kern w:val="0"/>
                <w:sz w:val="20"/>
                <w:szCs w:val="20"/>
              </w:rPr>
            </w:pPr>
            <w:r>
              <w:rPr>
                <w:rFonts w:hint="eastAsia" w:ascii="宋体" w:hAnsi="宋体" w:cs="宋体"/>
                <w:kern w:val="0"/>
                <w:sz w:val="20"/>
                <w:szCs w:val="20"/>
              </w:rPr>
              <w:t>99%</w:t>
            </w:r>
          </w:p>
        </w:tc>
        <w:tc>
          <w:tcPr>
            <w:tcW w:w="616" w:type="dxa"/>
            <w:tcBorders>
              <w:top w:val="nil"/>
              <w:left w:val="nil"/>
              <w:bottom w:val="single" w:color="auto" w:sz="4" w:space="0"/>
              <w:right w:val="single" w:color="auto" w:sz="4" w:space="0"/>
            </w:tcBorders>
            <w:shd w:val="clear" w:color="auto" w:fill="auto"/>
            <w:noWrap/>
            <w:vAlign w:val="center"/>
          </w:tcPr>
          <w:p w14:paraId="19C24703">
            <w:pPr>
              <w:widowControl/>
              <w:jc w:val="left"/>
              <w:rPr>
                <w:rFonts w:hint="eastAsia" w:ascii="宋体" w:hAnsi="宋体" w:cs="宋体"/>
                <w:kern w:val="0"/>
                <w:sz w:val="20"/>
                <w:szCs w:val="20"/>
              </w:rPr>
            </w:pPr>
            <w:r>
              <w:rPr>
                <w:rFonts w:hint="eastAsia" w:ascii="宋体" w:hAnsi="宋体" w:cs="宋体"/>
                <w:kern w:val="0"/>
                <w:sz w:val="20"/>
                <w:szCs w:val="20"/>
              </w:rPr>
              <w:t>6</w:t>
            </w:r>
          </w:p>
        </w:tc>
      </w:tr>
      <w:tr w14:paraId="6E083804">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20125528">
            <w:pPr>
              <w:widowControl/>
              <w:jc w:val="left"/>
              <w:rPr>
                <w:rFonts w:hint="eastAsia" w:ascii="宋体" w:hAnsi="宋体" w:cs="宋体"/>
                <w:kern w:val="0"/>
                <w:sz w:val="20"/>
                <w:szCs w:val="20"/>
              </w:rPr>
            </w:pPr>
            <w:r>
              <w:rPr>
                <w:rFonts w:hint="eastAsia" w:ascii="宋体" w:hAnsi="宋体" w:cs="宋体"/>
                <w:kern w:val="0"/>
                <w:sz w:val="20"/>
                <w:szCs w:val="20"/>
              </w:rPr>
              <w:t>服务对象满意度</w:t>
            </w:r>
          </w:p>
        </w:tc>
        <w:tc>
          <w:tcPr>
            <w:tcW w:w="0" w:type="auto"/>
            <w:tcBorders>
              <w:top w:val="nil"/>
              <w:left w:val="nil"/>
              <w:bottom w:val="single" w:color="auto" w:sz="4" w:space="0"/>
              <w:right w:val="single" w:color="auto" w:sz="4" w:space="0"/>
            </w:tcBorders>
            <w:shd w:val="clear" w:color="auto" w:fill="auto"/>
            <w:noWrap/>
            <w:vAlign w:val="center"/>
          </w:tcPr>
          <w:p w14:paraId="7A599F38">
            <w:pPr>
              <w:widowControl/>
              <w:jc w:val="left"/>
              <w:rPr>
                <w:rFonts w:hint="eastAsia" w:ascii="宋体" w:hAnsi="宋体" w:cs="宋体"/>
                <w:kern w:val="0"/>
                <w:sz w:val="20"/>
                <w:szCs w:val="20"/>
              </w:rPr>
            </w:pPr>
            <w:r>
              <w:rPr>
                <w:rFonts w:hint="eastAsia" w:ascii="宋体" w:hAnsi="宋体" w:cs="宋体"/>
                <w:kern w:val="0"/>
                <w:sz w:val="20"/>
                <w:szCs w:val="20"/>
              </w:rPr>
              <w:t>质量指标</w:t>
            </w:r>
          </w:p>
        </w:tc>
        <w:tc>
          <w:tcPr>
            <w:tcW w:w="1060" w:type="dxa"/>
            <w:tcBorders>
              <w:top w:val="nil"/>
              <w:left w:val="nil"/>
              <w:bottom w:val="single" w:color="auto" w:sz="4" w:space="0"/>
              <w:right w:val="single" w:color="auto" w:sz="4" w:space="0"/>
            </w:tcBorders>
            <w:shd w:val="clear" w:color="auto" w:fill="auto"/>
            <w:noWrap/>
            <w:vAlign w:val="center"/>
          </w:tcPr>
          <w:p w14:paraId="5B3E1051">
            <w:pPr>
              <w:widowControl/>
              <w:jc w:val="left"/>
              <w:rPr>
                <w:rFonts w:hint="eastAsia" w:ascii="宋体" w:hAnsi="宋体" w:cs="宋体"/>
                <w:kern w:val="0"/>
                <w:sz w:val="20"/>
                <w:szCs w:val="20"/>
              </w:rPr>
            </w:pPr>
            <w:r>
              <w:rPr>
                <w:rFonts w:hint="eastAsia" w:ascii="宋体" w:hAnsi="宋体" w:cs="宋体"/>
                <w:kern w:val="0"/>
                <w:sz w:val="20"/>
                <w:szCs w:val="20"/>
              </w:rPr>
              <w:t>党校参训学员满意度</w:t>
            </w:r>
          </w:p>
        </w:tc>
        <w:tc>
          <w:tcPr>
            <w:tcW w:w="1054" w:type="dxa"/>
            <w:tcBorders>
              <w:top w:val="nil"/>
              <w:left w:val="nil"/>
              <w:bottom w:val="single" w:color="auto" w:sz="4" w:space="0"/>
              <w:right w:val="single" w:color="auto" w:sz="4" w:space="0"/>
            </w:tcBorders>
            <w:shd w:val="clear" w:color="auto" w:fill="auto"/>
            <w:noWrap/>
            <w:vAlign w:val="center"/>
          </w:tcPr>
          <w:p w14:paraId="7704DFB2">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1231" w:type="dxa"/>
            <w:tcBorders>
              <w:top w:val="nil"/>
              <w:left w:val="nil"/>
              <w:bottom w:val="single" w:color="auto" w:sz="4" w:space="0"/>
              <w:right w:val="single" w:color="auto" w:sz="4" w:space="0"/>
            </w:tcBorders>
            <w:shd w:val="clear" w:color="auto" w:fill="auto"/>
            <w:noWrap/>
            <w:vAlign w:val="center"/>
          </w:tcPr>
          <w:p w14:paraId="11069B90">
            <w:pPr>
              <w:widowControl/>
              <w:jc w:val="left"/>
              <w:rPr>
                <w:rFonts w:hint="eastAsia" w:ascii="宋体" w:hAnsi="宋体" w:cs="宋体"/>
                <w:kern w:val="0"/>
                <w:sz w:val="20"/>
                <w:szCs w:val="20"/>
              </w:rPr>
            </w:pPr>
            <w:r>
              <w:rPr>
                <w:rFonts w:hint="eastAsia" w:ascii="宋体" w:hAnsi="宋体" w:cs="宋体"/>
                <w:kern w:val="0"/>
                <w:sz w:val="20"/>
                <w:szCs w:val="20"/>
              </w:rPr>
              <w:t>中共木垒哈萨克自治县委员会党校2023年工作计划</w:t>
            </w:r>
          </w:p>
        </w:tc>
        <w:tc>
          <w:tcPr>
            <w:tcW w:w="887" w:type="dxa"/>
            <w:tcBorders>
              <w:top w:val="nil"/>
              <w:left w:val="nil"/>
              <w:bottom w:val="single" w:color="auto" w:sz="4" w:space="0"/>
              <w:right w:val="single" w:color="auto" w:sz="4" w:space="0"/>
            </w:tcBorders>
            <w:shd w:val="clear" w:color="auto" w:fill="auto"/>
            <w:noWrap/>
            <w:vAlign w:val="center"/>
          </w:tcPr>
          <w:p w14:paraId="458AAC5E">
            <w:pPr>
              <w:widowControl/>
              <w:jc w:val="left"/>
              <w:rPr>
                <w:rFonts w:hint="eastAsia" w:ascii="宋体" w:hAnsi="宋体" w:cs="宋体"/>
                <w:kern w:val="0"/>
                <w:sz w:val="20"/>
                <w:szCs w:val="20"/>
              </w:rPr>
            </w:pPr>
            <w:r>
              <w:rPr>
                <w:rFonts w:hint="eastAsia" w:ascii="宋体" w:hAnsi="宋体" w:cs="宋体"/>
                <w:kern w:val="0"/>
                <w:sz w:val="20"/>
                <w:szCs w:val="20"/>
              </w:rPr>
              <w:t>8</w:t>
            </w:r>
          </w:p>
        </w:tc>
        <w:tc>
          <w:tcPr>
            <w:tcW w:w="844" w:type="dxa"/>
            <w:tcBorders>
              <w:top w:val="nil"/>
              <w:left w:val="nil"/>
              <w:bottom w:val="single" w:color="auto" w:sz="4" w:space="0"/>
              <w:right w:val="single" w:color="auto" w:sz="4" w:space="0"/>
            </w:tcBorders>
            <w:shd w:val="clear" w:color="auto" w:fill="auto"/>
            <w:noWrap/>
            <w:vAlign w:val="center"/>
          </w:tcPr>
          <w:p w14:paraId="74036FCE">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616" w:type="dxa"/>
            <w:tcBorders>
              <w:top w:val="nil"/>
              <w:left w:val="nil"/>
              <w:bottom w:val="single" w:color="auto" w:sz="4" w:space="0"/>
              <w:right w:val="single" w:color="auto" w:sz="4" w:space="0"/>
            </w:tcBorders>
            <w:shd w:val="clear" w:color="auto" w:fill="auto"/>
            <w:noWrap/>
            <w:vAlign w:val="center"/>
          </w:tcPr>
          <w:p w14:paraId="42E533FD">
            <w:pPr>
              <w:widowControl/>
              <w:jc w:val="left"/>
              <w:rPr>
                <w:rFonts w:hint="eastAsia" w:ascii="宋体" w:hAnsi="宋体" w:cs="宋体"/>
                <w:kern w:val="0"/>
                <w:sz w:val="20"/>
                <w:szCs w:val="20"/>
              </w:rPr>
            </w:pPr>
            <w:r>
              <w:rPr>
                <w:rFonts w:hint="eastAsia" w:ascii="宋体" w:hAnsi="宋体" w:cs="宋体"/>
                <w:kern w:val="0"/>
                <w:sz w:val="20"/>
                <w:szCs w:val="20"/>
              </w:rPr>
              <w:t>8</w:t>
            </w:r>
          </w:p>
        </w:tc>
      </w:tr>
    </w:tbl>
    <w:p w14:paraId="611D40C5">
      <w:pPr>
        <w:ind w:firstLine="640" w:firstLineChars="200"/>
        <w:jc w:val="left"/>
        <w:rPr>
          <w:rFonts w:ascii="仿宋_GB2312" w:eastAsia="仿宋_GB2312"/>
          <w:sz w:val="32"/>
          <w:szCs w:val="32"/>
        </w:rPr>
      </w:pPr>
    </w:p>
    <w:p w14:paraId="7162CC8B">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764DE9BA">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48B8F867">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7B1E57E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561EA2D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7058EF6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1EE6686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0840845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2E221C0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6D992BC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2830595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1E02A5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6FC5D76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13E544F1">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5D927FC8">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583CF844">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60D3606">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33DE5E8B">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74DDD694">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7D7DF508">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642E2B1E">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5A38F770">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56795FD9">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095EF1B6">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1A6B797C">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28203D86">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77E50F59">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298AC916">
      <w:pPr>
        <w:ind w:firstLine="640" w:firstLineChars="200"/>
        <w:rPr>
          <w:rFonts w:ascii="仿宋_GB2312" w:eastAsia="仿宋_GB2312"/>
          <w:sz w:val="32"/>
          <w:szCs w:val="32"/>
        </w:rPr>
      </w:pPr>
    </w:p>
    <w:p w14:paraId="4C511F4B">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5400B6">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7FF09E8">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37FF09E8">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897FDB"/>
    <w:rsid w:val="000C0292"/>
    <w:rsid w:val="00136C69"/>
    <w:rsid w:val="00180AAF"/>
    <w:rsid w:val="00213C59"/>
    <w:rsid w:val="003210CE"/>
    <w:rsid w:val="003C6CD0"/>
    <w:rsid w:val="00427E79"/>
    <w:rsid w:val="0047671B"/>
    <w:rsid w:val="005C2B20"/>
    <w:rsid w:val="00612567"/>
    <w:rsid w:val="006D4522"/>
    <w:rsid w:val="00876FA9"/>
    <w:rsid w:val="00897FDB"/>
    <w:rsid w:val="0097392A"/>
    <w:rsid w:val="00B1567F"/>
    <w:rsid w:val="00B358B7"/>
    <w:rsid w:val="00B70D59"/>
    <w:rsid w:val="00DD2E74"/>
    <w:rsid w:val="00F325E7"/>
    <w:rsid w:val="00F52A8D"/>
    <w:rsid w:val="00FA567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5C95554"/>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5971</Words>
  <Characters>6769</Characters>
  <Lines>56</Lines>
  <Paragraphs>15</Paragraphs>
  <TotalTime>33</TotalTime>
  <ScaleCrop>false</ScaleCrop>
  <LinksUpToDate>false</LinksUpToDate>
  <CharactersWithSpaces>6790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2024-12-05T09:57:11Z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